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2" w:before="0" w:after="60"/>
        <w:rPr/>
      </w:pPr>
      <w:r>
        <w:rPr>
          <w:b/>
        </w:rPr>
        <w:t>Załącznik nr 5 do Oferty ramowej w zakresie dostępu hurtowego do sieci realizowanej w ramach KPO4 – Umowa o powierzeniu przetwarzania danych osobowych oraz zasady wzajemnego udostępniania danych</w:t>
      </w:r>
    </w:p>
    <w:p>
      <w:pPr>
        <w:pStyle w:val="Normal"/>
        <w:spacing w:lineRule="auto" w:line="252" w:before="0" w:after="60"/>
        <w:jc w:val="center"/>
        <w:rPr/>
      </w:pPr>
      <w:r>
        <w:rPr>
          <w:b/>
          <w:sz w:val="26"/>
        </w:rPr>
        <w:t>UMOWA O POWIERZENIU PRZETWARZANIA DANYCH OSOBOWYCH</w:t>
      </w:r>
    </w:p>
    <w:p>
      <w:pPr>
        <w:pStyle w:val="Normal"/>
        <w:spacing w:lineRule="auto" w:line="252" w:before="0" w:after="60"/>
        <w:rPr/>
      </w:pPr>
      <w:r>
        <w:rPr/>
        <w:t>Zawarta w dniu ................................ [data], w ................................ [miejscowość] / z dniem złożenia ostatniego z kwalifikowanych podpisów elektronicznych na dokumencie elektronicznym Umowy, dalej „Umowa Powierzenia”,</w:t>
      </w:r>
    </w:p>
    <w:p>
      <w:pPr>
        <w:pStyle w:val="Normal"/>
        <w:spacing w:lineRule="auto" w:line="252" w:before="0" w:after="60"/>
        <w:rPr/>
      </w:pPr>
      <w:r>
        <w:rPr/>
        <w:t>pomiędzy:</w:t>
      </w:r>
    </w:p>
    <w:p>
      <w:pPr>
        <w:pStyle w:val="Normal"/>
        <w:spacing w:lineRule="auto" w:line="252" w:before="0" w:after="60"/>
        <w:rPr/>
      </w:pPr>
      <w:r>
        <w:rPr/>
        <w:t>MEVSPACE Sp. z o.o. z siedzibą w Warszawie, adres siedziby: ul. Augustyna Locciego 33, 02-928 Warszawa, wpisaną do rejestru przedsiębiorców Krajowego Rejestru Sądowego prowadzonego przez Sąd Rejonowy dla m.st. Warszawy, XIII Wydział Gospodarczy Krajowego Rejestru Sądowego pod numerem KRS 0000346299, REGON 100818967, NIP 7282739782, wpisaną do rejestru przedsiębiorców telekomunikacyjnych prowadzonego przez Prezesa Urzędu Komunikacji Elektronicznej pod numerem 12901, zwaną dalej „OSD”, reprezentowaną przez:</w:t>
      </w:r>
    </w:p>
    <w:p>
      <w:pPr>
        <w:pStyle w:val="Normal"/>
        <w:spacing w:lineRule="auto" w:line="252" w:before="0" w:after="60"/>
        <w:rPr/>
      </w:pPr>
      <w:r>
        <w:rPr/>
        <w:t>…………………</w:t>
      </w:r>
      <w:r>
        <w:rPr/>
        <w:t>..,</w:t>
      </w:r>
    </w:p>
    <w:p>
      <w:pPr>
        <w:pStyle w:val="Normal"/>
        <w:spacing w:lineRule="auto" w:line="252" w:before="0" w:after="60"/>
        <w:rPr/>
      </w:pPr>
      <w:r>
        <w:rPr/>
        <w:t>…………………</w:t>
      </w:r>
      <w:r>
        <w:rPr/>
        <w:t>..,</w:t>
      </w:r>
    </w:p>
    <w:p>
      <w:pPr>
        <w:pStyle w:val="Normal"/>
        <w:spacing w:lineRule="auto" w:line="252" w:before="0" w:after="60"/>
        <w:rPr/>
      </w:pPr>
      <w:r>
        <w:rPr/>
      </w:r>
    </w:p>
    <w:p>
      <w:pPr>
        <w:pStyle w:val="Normal"/>
        <w:spacing w:lineRule="auto" w:line="252" w:before="0" w:after="60"/>
        <w:rPr/>
      </w:pPr>
      <w:r>
        <w:rPr/>
        <w:t>a</w:t>
      </w:r>
    </w:p>
    <w:p>
      <w:pPr>
        <w:pStyle w:val="Normal"/>
        <w:spacing w:lineRule="auto" w:line="252" w:before="0" w:after="60"/>
        <w:rPr/>
      </w:pPr>
      <w:r>
        <w:rPr/>
        <w:t>...................................................................................., z siedzibą w ................................ pod adresem: ................................, wpisaną do rejestru przedsiębiorców Krajowego Rejestru Sądowego prowadzonego przez ................................ pod numerem KRS ................................ (nie dotyczy przedsiębiorców wpisanych do Centralnej Ewidencji i Informacji o Działalności Gospodarczej), REGON: ................................, NIP: ................................, wpisaną do rejestru przedsiębiorców telekomunikacyjnych prowadzonego przez Prezesa Urzędu Komunikacji Elektronicznej pod numerem ................................, zwaną dalej „OK” lub „Administratorem”, reprezentowaną przez:</w:t>
      </w:r>
    </w:p>
    <w:p>
      <w:pPr>
        <w:pStyle w:val="Normal"/>
        <w:spacing w:lineRule="auto" w:line="252" w:before="0" w:after="60"/>
        <w:rPr/>
      </w:pPr>
      <w:r>
        <w:rPr/>
        <w:t>....................................................................................</w:t>
      </w:r>
    </w:p>
    <w:p>
      <w:pPr>
        <w:pStyle w:val="Normal"/>
        <w:spacing w:lineRule="auto" w:line="252" w:before="0" w:after="60"/>
        <w:rPr/>
      </w:pPr>
      <w:r>
        <w:rPr/>
        <w:t>OSD i OK zwani są dalej każdy z osobna „Stroną” lub łącznie „Stronami”.</w:t>
      </w:r>
    </w:p>
    <w:p>
      <w:pPr>
        <w:pStyle w:val="Normal"/>
        <w:spacing w:lineRule="auto" w:line="252" w:before="160" w:after="80"/>
        <w:rPr/>
      </w:pPr>
      <w:r>
        <w:rPr>
          <w:b/>
          <w:sz w:val="24"/>
        </w:rPr>
        <w:t>PREAMBUŁA</w:t>
      </w:r>
    </w:p>
    <w:p>
      <w:pPr>
        <w:pStyle w:val="Normal"/>
        <w:spacing w:lineRule="auto" w:line="252" w:before="0" w:after="60"/>
        <w:rPr/>
      </w:pPr>
      <w:r>
        <w:rPr>
          <w:b/>
        </w:rPr>
        <w:t xml:space="preserve">1. </w:t>
      </w:r>
      <w:r>
        <w:rPr/>
        <w:t>Umowa Powierzenia zostaje zawarta w związku z Umową ramową w zakresie dostępu hurtowego do Sieci KPO4 zawartą pomiędzy Stronami na podstawie Oferty ramowej OSD, dalej „Umowa ramowa”.</w:t>
      </w:r>
    </w:p>
    <w:p>
      <w:pPr>
        <w:pStyle w:val="Normal"/>
        <w:spacing w:lineRule="auto" w:line="252" w:before="0" w:after="60"/>
        <w:rPr/>
      </w:pPr>
      <w:r>
        <w:rPr>
          <w:b/>
        </w:rPr>
        <w:t xml:space="preserve">2. </w:t>
      </w:r>
      <w:r>
        <w:rPr/>
        <w:t>Strony potwierdzają, że w zakresie danych osobowych Abonentów lub Użytkowników końcowych OK, które są przekazywane OSD wyłącznie w celu realizacji usług hurtowych, OK określa cele i istotne sposoby przetwarzania danych, natomiast OSD przetwarza te dane w imieniu OK i na jego udokumentowane polecenie. W tym zakresie OK pełni rolę Administratora, a OSD rolę Procesora.</w:t>
      </w:r>
    </w:p>
    <w:p>
      <w:pPr>
        <w:pStyle w:val="Normal"/>
        <w:spacing w:lineRule="auto" w:line="252" w:before="0" w:after="60"/>
        <w:rPr/>
      </w:pPr>
      <w:r>
        <w:rPr>
          <w:b/>
        </w:rPr>
        <w:t xml:space="preserve">3. </w:t>
      </w:r>
      <w:r>
        <w:rPr/>
        <w:t>Strony potwierdzają, że dane osobowe przedstawicieli, pracowników i współpracowników Stron, przetwarzane w celu zawarcia, realizacji, rozliczenia i obsługi Umowy ramowej, są przetwarzane przez każdą ze Stron jako odrębnego administratora danych. Te dane nie są objęte powierzeniem, chyba że dana czynność przetwarzania została wprost wskazana w niniejszej Umowie Powierzenia jako wykonywana przez Procesora w imieniu Administratora.</w:t>
      </w:r>
    </w:p>
    <w:p>
      <w:pPr>
        <w:pStyle w:val="Normal"/>
        <w:spacing w:lineRule="auto" w:line="252" w:before="0" w:after="60"/>
        <w:rPr/>
      </w:pPr>
      <w:r>
        <w:rPr>
          <w:b/>
        </w:rPr>
        <w:t xml:space="preserve">4. </w:t>
      </w:r>
      <w:r>
        <w:rPr/>
        <w:t>OSD pozostaje odrębnym administratorem danych osobowych w zakresie, w jakim przetwarza dane dla własnych celów wynikających z bezwzględnie obowiązujących przepisów prawa lub własnych obowiązków regulacyjnych, podatkowych, księgowych, bezpieczeństwa sieci, cyberbezpieczeństwa, obronności, bezpieczeństwa państwa, porządku publicznego, dochodzenia lub obrony roszczeń. Dane przetwarzane przez OSD jako odrębnego administratora nie są objęte niniejszą Umową Powierzenia.</w:t>
      </w:r>
    </w:p>
    <w:p>
      <w:pPr>
        <w:pStyle w:val="Normal"/>
        <w:spacing w:lineRule="auto" w:line="252" w:before="0" w:after="60"/>
        <w:rPr/>
      </w:pPr>
      <w:r>
        <w:rPr>
          <w:b/>
        </w:rPr>
        <w:t xml:space="preserve">5. </w:t>
      </w:r>
      <w:r>
        <w:rPr/>
        <w:t>Niniejsza Umowa Powierzenia nie ustanawia współadministrowania danymi osobowymi w rozumieniu art. 26 RODO. Współadministrowanie może powstać wyłącznie na podstawie odrębnego pisemnego uzgodnienia Stron.</w:t>
      </w:r>
    </w:p>
    <w:p>
      <w:pPr>
        <w:pStyle w:val="Normal"/>
        <w:spacing w:lineRule="auto" w:line="252" w:before="160" w:after="80"/>
        <w:rPr/>
      </w:pPr>
      <w:r>
        <w:rPr>
          <w:b/>
          <w:sz w:val="24"/>
        </w:rPr>
        <w:t>1. DEFINICJE</w:t>
      </w:r>
    </w:p>
    <w:p>
      <w:pPr>
        <w:pStyle w:val="Normal"/>
        <w:spacing w:lineRule="auto" w:line="252" w:before="0" w:after="60"/>
        <w:rPr/>
      </w:pPr>
      <w:r>
        <w:rPr>
          <w:b/>
        </w:rPr>
        <w:t xml:space="preserve">1.1. </w:t>
      </w:r>
      <w:r>
        <w:rPr/>
        <w:t>RODO – rozporządzenie Parlamentu Europejskiego i Rady (UE) 2016/679 z dnia 27 kwietnia 2016 r. w sprawie ochrony osób fizycznych w związku z przetwarzaniem danych osobowych i w sprawie swobodnego przepływu takich danych oraz uchylenia dyrektywy 95/46/WE.</w:t>
      </w:r>
    </w:p>
    <w:p>
      <w:pPr>
        <w:pStyle w:val="Normal"/>
        <w:spacing w:lineRule="auto" w:line="252" w:before="0" w:after="60"/>
        <w:rPr/>
      </w:pPr>
      <w:r>
        <w:rPr>
          <w:b/>
        </w:rPr>
        <w:t xml:space="preserve">1.2. </w:t>
      </w:r>
      <w:r>
        <w:rPr/>
        <w:t>Umowa ramowa – umowa w zakresie dostępu hurtowego do Sieci KPO4 zawarta pomiędzy OSD i OK na podstawie Oferty ramowej OSD, wraz z zamówieniami i załącznikami.</w:t>
      </w:r>
    </w:p>
    <w:p>
      <w:pPr>
        <w:pStyle w:val="Normal"/>
        <w:spacing w:lineRule="auto" w:line="252" w:before="0" w:after="60"/>
        <w:rPr/>
      </w:pPr>
      <w:r>
        <w:rPr>
          <w:b/>
        </w:rPr>
        <w:t xml:space="preserve">1.3. </w:t>
      </w:r>
      <w:r>
        <w:rPr/>
        <w:t>Umowa Powierzenia – niniejsza umowa powierzenia przetwarzania danych osobowych zawarta zgodnie z art. 28 ust. 3 RODO.</w:t>
      </w:r>
    </w:p>
    <w:p>
      <w:pPr>
        <w:pStyle w:val="Normal"/>
        <w:spacing w:lineRule="auto" w:line="252" w:before="0" w:after="60"/>
        <w:rPr/>
      </w:pPr>
      <w:r>
        <w:rPr>
          <w:b/>
        </w:rPr>
        <w:t xml:space="preserve">1.4. </w:t>
      </w:r>
      <w:r>
        <w:rPr/>
        <w:t>Dane Powierzone – dane osobowe wskazane w pkt 2.2-2.4, które OK powierza OSD do przetwarzania w zakresie niezbędnym do wykonania Umowy ramowej.</w:t>
      </w:r>
    </w:p>
    <w:p>
      <w:pPr>
        <w:pStyle w:val="Normal"/>
        <w:spacing w:lineRule="auto" w:line="252" w:before="0" w:after="60"/>
        <w:rPr/>
      </w:pPr>
      <w:r>
        <w:rPr>
          <w:b/>
        </w:rPr>
        <w:t xml:space="preserve">1.5. </w:t>
      </w:r>
      <w:r>
        <w:rPr/>
        <w:t>Abonent, Użytkownik końcowy, Usługi, Sieć KPO4, Zamówienie, Awaria, Reklamacja, PA, PDU, SK oraz inne pojęcia pisane wielką literą mają znaczenie nadane im w Umowie ramowej lub Ofercie ramowej, chyba że niniejsza Umowa Powierzenia stanowi inaczej.</w:t>
      </w:r>
    </w:p>
    <w:p>
      <w:pPr>
        <w:pStyle w:val="Normal"/>
        <w:spacing w:lineRule="auto" w:line="252" w:before="0" w:after="60"/>
        <w:rPr/>
      </w:pPr>
      <w:r>
        <w:rPr>
          <w:b/>
        </w:rPr>
        <w:t xml:space="preserve">1.6. </w:t>
      </w:r>
      <w:r>
        <w:rPr/>
        <w:t>Naruszenie ochrony danych osobowych oznacza naruszenie w rozumieniu art. 4 pkt 12 RODO, dotyczące Danych Powierzonych.</w:t>
      </w:r>
    </w:p>
    <w:p>
      <w:pPr>
        <w:pStyle w:val="Normal"/>
        <w:spacing w:lineRule="auto" w:line="252" w:before="0" w:after="60"/>
        <w:rPr/>
      </w:pPr>
      <w:r>
        <w:rPr>
          <w:b/>
        </w:rPr>
        <w:t xml:space="preserve">1.7. </w:t>
      </w:r>
      <w:r>
        <w:rPr/>
        <w:t>Podprocesor oznacza inny podmiot przetwarzający, któremu Procesor powierza dalsze przetwarzanie Danych Powierzonych na zasadach określonych w niniejszej Umowie Powierzenia.</w:t>
      </w:r>
    </w:p>
    <w:p>
      <w:pPr>
        <w:pStyle w:val="Normal"/>
        <w:spacing w:lineRule="auto" w:line="252" w:before="160" w:after="80"/>
        <w:rPr/>
      </w:pPr>
      <w:r>
        <w:rPr>
          <w:b/>
          <w:sz w:val="24"/>
        </w:rPr>
        <w:t>2. PRZEDMIOT, CEL, ZAKRES I CHARAKTER PRZETWARZANIA</w:t>
      </w:r>
    </w:p>
    <w:p>
      <w:pPr>
        <w:pStyle w:val="Normal"/>
        <w:spacing w:lineRule="auto" w:line="252" w:before="0" w:after="60"/>
        <w:rPr/>
      </w:pPr>
      <w:r>
        <w:rPr>
          <w:b/>
        </w:rPr>
        <w:t xml:space="preserve">2.1. </w:t>
      </w:r>
      <w:r>
        <w:rPr/>
        <w:t>W trybie art. 28 ust. 3 RODO Administrator powierza Procesorowi przetwarzanie Danych Powierzonych, a Procesor zobowiązuje się przetwarzać je zgodnie z Umową Powierzenia, Umową ramową, udokumentowanymi poleceniami Administratora oraz RODO.</w:t>
      </w:r>
    </w:p>
    <w:p>
      <w:pPr>
        <w:pStyle w:val="Normal"/>
        <w:spacing w:lineRule="auto" w:line="252" w:before="0" w:after="60"/>
        <w:rPr/>
      </w:pPr>
      <w:r>
        <w:rPr>
          <w:b/>
        </w:rPr>
        <w:t xml:space="preserve">2.2. </w:t>
      </w:r>
      <w:r>
        <w:rPr/>
        <w:t>Kategorie osób, których dane dotyczą:</w:t>
      </w:r>
    </w:p>
    <w:p>
      <w:pPr>
        <w:pStyle w:val="Normal"/>
        <w:spacing w:lineRule="auto" w:line="252" w:before="0" w:after="40"/>
        <w:ind w:hanging="198" w:start="340"/>
        <w:rPr/>
      </w:pPr>
      <w:r>
        <w:rPr/>
        <w:t>a) Abonenci i Użytkownicy końcowi OK, których dotyczą Zamówienia, aktywacja, modyfikacja, rezygnacja, zmiana dostawcy, obsługa Awarii, Reklamacji lub inne czynności realizowane na podstawie Umowy ramowej;</w:t>
      </w:r>
    </w:p>
    <w:p>
      <w:pPr>
        <w:pStyle w:val="Normal"/>
        <w:spacing w:lineRule="auto" w:line="252" w:before="0" w:after="40"/>
        <w:ind w:hanging="198" w:start="340"/>
        <w:rPr/>
      </w:pPr>
      <w:r>
        <w:rPr/>
        <w:t>b) osoby kontaktowe wskazane przez Abonenta lub Użytkownika końcowego OK do kontaktu w sprawach technicznych, instalacyjnych, serwisowych lub reklamacyjnych;</w:t>
      </w:r>
    </w:p>
    <w:p>
      <w:pPr>
        <w:pStyle w:val="Normal"/>
        <w:spacing w:lineRule="auto" w:line="252" w:before="0" w:after="40"/>
        <w:ind w:hanging="198" w:start="340"/>
        <w:rPr/>
      </w:pPr>
      <w:r>
        <w:rPr/>
        <w:t>c) osoby korzystające z lokalu lub adresu świadczenia Usługi, w zakresie w jakim ich dane zostały przekazane OSD przez OK i są niezbędne do realizacji Usługi;</w:t>
      </w:r>
    </w:p>
    <w:p>
      <w:pPr>
        <w:pStyle w:val="Normal"/>
        <w:spacing w:lineRule="auto" w:line="252" w:before="0" w:after="40"/>
        <w:ind w:hanging="198" w:start="340"/>
        <w:rPr/>
      </w:pPr>
      <w:r>
        <w:rPr/>
        <w:t>d) przedstawiciele lub osoby kontaktowe OK tylko w zakresie, w jakim ich dane są przetwarzane przez OSD w imieniu OK w celu obsługi Zamówień lub zgłoszeń w systemach OSD. W pozostałym zakresie dane tych osób są przetwarzane przez Strony jako odrębnych administratorów.</w:t>
      </w:r>
    </w:p>
    <w:p>
      <w:pPr>
        <w:pStyle w:val="Normal"/>
        <w:spacing w:lineRule="auto" w:line="252" w:before="0" w:after="60"/>
        <w:rPr/>
      </w:pPr>
      <w:r>
        <w:rPr>
          <w:b/>
        </w:rPr>
        <w:t xml:space="preserve">2.3. </w:t>
      </w:r>
      <w:r>
        <w:rPr/>
        <w:t>Zakres Danych Powierzonych może obejmować wyłącznie dane niezbędne do realizacji Umowy ramowej :</w:t>
      </w:r>
    </w:p>
    <w:p>
      <w:pPr>
        <w:pStyle w:val="Normal"/>
        <w:spacing w:lineRule="auto" w:line="252" w:before="0" w:after="40"/>
        <w:ind w:hanging="198" w:start="340"/>
        <w:rPr/>
      </w:pPr>
      <w:r>
        <w:rPr/>
        <w:t>a) imię i nazwisko, numer telefonu, adres e-mail lub inne dane kontaktowe osoby wskazanej do kontaktu technicznego, instalacyjnego, serwisowego lub reklamacyjnego;</w:t>
      </w:r>
    </w:p>
    <w:p>
      <w:pPr>
        <w:pStyle w:val="Normal"/>
        <w:spacing w:lineRule="auto" w:line="252" w:before="0" w:after="40"/>
        <w:ind w:hanging="198" w:start="340"/>
        <w:rPr/>
      </w:pPr>
      <w:r>
        <w:rPr/>
        <w:t>b) adres świadczenia Usługi, numer lokalu, punkt adresowy PA, lokalizację PDU, identyfikator Usługi, numer Zamówienia, numer zgłoszenia, identyfikatory techniczne niezbędne do zestawienia lub utrzymania Usługi;</w:t>
      </w:r>
    </w:p>
    <w:p>
      <w:pPr>
        <w:pStyle w:val="Normal"/>
        <w:spacing w:lineRule="auto" w:line="252" w:before="0" w:after="40"/>
        <w:ind w:hanging="198" w:start="340"/>
        <w:rPr/>
      </w:pPr>
      <w:r>
        <w:rPr/>
        <w:t>c) informacje o wariancie, parametrach i statusie Usługi, terminach instalacji, modyfikacji, przełączenia, rezygnacji, wizyty technicznej, usunięcia Awarii lub rozpatrzenia Reklamacji;</w:t>
      </w:r>
    </w:p>
    <w:p>
      <w:pPr>
        <w:pStyle w:val="Normal"/>
        <w:spacing w:lineRule="auto" w:line="252" w:before="0" w:after="40"/>
        <w:ind w:hanging="198" w:start="340"/>
        <w:rPr/>
      </w:pPr>
      <w:r>
        <w:rPr/>
        <w:t>d) dane techniczne urządzeń i usług, w szczególności numer seryjny ONT/CPE, identyfikatory portu, VLAN, adresy logiczne lub inne identyfikatory techniczne, jeżeli są konieczne do realizacji Umowy ramowej;</w:t>
      </w:r>
    </w:p>
    <w:p>
      <w:pPr>
        <w:pStyle w:val="Normal"/>
        <w:spacing w:lineRule="auto" w:line="252" w:before="0" w:after="40"/>
        <w:ind w:hanging="198" w:start="340"/>
        <w:rPr/>
      </w:pPr>
      <w:r>
        <w:rPr/>
        <w:t>e) opis problemu technicznego, opis Awarii, Reklamacji, Prac planowych lub Działań utrzymaniowych, w zakresie w jakim opis zawiera dane osobowe;</w:t>
      </w:r>
    </w:p>
    <w:p>
      <w:pPr>
        <w:pStyle w:val="Normal"/>
        <w:spacing w:lineRule="auto" w:line="252" w:before="0" w:after="40"/>
        <w:ind w:hanging="198" w:start="340"/>
        <w:rPr/>
      </w:pPr>
      <w:r>
        <w:rPr/>
        <w:t>f) informacje przekazane w związku z obsługą Zamówień, uruchomieniem, utrzymaniem, modyfikacją i zakończenie Usług, obsługą zmiany dostawcy, Awarii, Reklamacji, Prac planowych, Działań utrzymaniowych, rozliczeń międzyoperatorskich, komunikacji w SK oraz dokumentowaniem wykonanych czynności;</w:t>
      </w:r>
    </w:p>
    <w:p>
      <w:pPr>
        <w:pStyle w:val="Normal"/>
        <w:spacing w:lineRule="auto" w:line="252" w:before="0" w:after="40"/>
        <w:ind w:hanging="198" w:start="340"/>
        <w:rPr/>
      </w:pPr>
      <w:r>
        <w:rPr/>
        <w:t>g) inne dane przekazane przez OK, jeżeli ich przetwarzanie jest niezbędne do wykonania Umowy ramowej i zgodne z udokumentowanym poleceniem OK.</w:t>
      </w:r>
    </w:p>
    <w:p>
      <w:pPr>
        <w:pStyle w:val="Normal"/>
        <w:spacing w:lineRule="auto" w:line="252" w:before="0" w:after="60"/>
        <w:rPr/>
      </w:pPr>
      <w:r>
        <w:rPr>
          <w:b/>
        </w:rPr>
        <w:t xml:space="preserve">2.4. </w:t>
      </w:r>
      <w:r>
        <w:rPr/>
        <w:t>Dane Powierzone nie powinny obejmować szczególnych kategorii danych osobowych, o których mowa w art. 9 RODO, danych dotyczących wyroków skazujących i naruszeń prawa, o których mowa w art. 10 RODO, ani treści komunikacji elektronicznej. Jeżeli takie dane zostaną przypadkowo przekazane Procesorowi, Procesor niezwłocznie poinformuje Administratora i uzgodni sposób ich usunięcia albo innego zgodnego z prawem postępowania.</w:t>
      </w:r>
    </w:p>
    <w:p>
      <w:pPr>
        <w:pStyle w:val="Normal"/>
        <w:spacing w:lineRule="auto" w:line="252" w:before="0" w:after="60"/>
        <w:rPr/>
      </w:pPr>
      <w:r>
        <w:rPr>
          <w:b/>
        </w:rPr>
        <w:t xml:space="preserve">2.5. </w:t>
      </w:r>
      <w:r>
        <w:rPr/>
        <w:t>Celem przetwarzania Danych Powierzonych jest wykonanie Umowy ramowej, w szczególności obsługa Zamówień, uruchomienie, utrzymanie, modyfikacja i zakończenie Usług, obsługa zmiany dostawcy, Awarii, Reklamacji, Prac planowych, Działań utrzymaniowych, rozliczeń międzyoperatorskich, komunikacji w SK oraz dokumentowania wykonanych czynności.</w:t>
      </w:r>
    </w:p>
    <w:p>
      <w:pPr>
        <w:pStyle w:val="Normal"/>
        <w:spacing w:lineRule="auto" w:line="252" w:before="0" w:after="60"/>
        <w:rPr/>
      </w:pPr>
      <w:r>
        <w:rPr>
          <w:b/>
        </w:rPr>
        <w:t xml:space="preserve">2.6. </w:t>
      </w:r>
      <w:r>
        <w:rPr/>
        <w:t>Charakter przetwarzania obejmuje czynności techniczne, organizacyjne i administracyjne wykonywane przez Procesora jako operatora sieci dostępowej oraz podmiot zapewniający hurtowy dostęp do Sieci KPO4.</w:t>
      </w:r>
    </w:p>
    <w:p>
      <w:pPr>
        <w:pStyle w:val="Normal"/>
        <w:spacing w:lineRule="auto" w:line="252" w:before="0" w:after="60"/>
        <w:rPr/>
      </w:pPr>
      <w:r>
        <w:rPr>
          <w:b/>
        </w:rPr>
        <w:t xml:space="preserve">2.7. </w:t>
      </w:r>
      <w:r>
        <w:rPr/>
        <w:t>Procesor może wykonywać na Danych Powierzonych następujące operacje: zbieranie, otrzymywanie, utrwalanie, organizowanie, porządkowanie, przechowywanie, przeglądanie, pobieranie, wykorzystywanie, ujawnianie upoważnionym osobom i Podprocesorom, przesyłanie, modyfikowanie, ograniczanie, usuwanie, anonimizowanie oraz archiwizowanie, wyłącznie w zakresie niezbędnym do realizacji celów wskazanych w pkt 2.5.</w:t>
      </w:r>
    </w:p>
    <w:p>
      <w:pPr>
        <w:pStyle w:val="Normal"/>
        <w:spacing w:lineRule="auto" w:line="252" w:before="0" w:after="60"/>
        <w:rPr/>
      </w:pPr>
      <w:r>
        <w:rPr>
          <w:b/>
        </w:rPr>
        <w:t xml:space="preserve">2.8. </w:t>
      </w:r>
      <w:r>
        <w:rPr/>
        <w:t>Dane Powierzone będą przetwarzane w formie elektronicznej, w tym w SK, systemach zgłoszeniowych, systemach technicznych, systemach ewidencyjnych i poczcie elektronicznej, oraz pomocniczo w formie papierowej, jeżeli jest to niezbędne do wykonania Umowy ramowej.</w:t>
      </w:r>
    </w:p>
    <w:p>
      <w:pPr>
        <w:pStyle w:val="Normal"/>
        <w:spacing w:lineRule="auto" w:line="252" w:before="0" w:after="60"/>
        <w:rPr/>
      </w:pPr>
      <w:r>
        <w:rPr>
          <w:b/>
        </w:rPr>
        <w:t xml:space="preserve">2.9. </w:t>
      </w:r>
      <w:r>
        <w:rPr/>
        <w:t>Czas przetwarzania obejmuje okres obowiązywania Umowy ramowej, z zastrzeżeniem pkt 7.2.</w:t>
      </w:r>
    </w:p>
    <w:p>
      <w:pPr>
        <w:pStyle w:val="Normal"/>
        <w:spacing w:lineRule="auto" w:line="252" w:before="160" w:after="80"/>
        <w:rPr/>
      </w:pPr>
      <w:r>
        <w:rPr>
          <w:b/>
          <w:sz w:val="24"/>
        </w:rPr>
        <w:t>3. POLECENIA ADMINISTRATORA I ZASADY PRZETWARZANIA</w:t>
      </w:r>
    </w:p>
    <w:p>
      <w:pPr>
        <w:pStyle w:val="Normal"/>
        <w:spacing w:lineRule="auto" w:line="252" w:before="0" w:after="60"/>
        <w:rPr/>
      </w:pPr>
      <w:r>
        <w:rPr>
          <w:b/>
        </w:rPr>
        <w:t xml:space="preserve">3.1. </w:t>
      </w:r>
      <w:r>
        <w:rPr/>
        <w:t>Procesor przetwarza Dane Powierzone wyłącznie na udokumentowane polecenie Administratora. Za udokumentowane polecenia uznaje się w szczególności postanowienia Umowy ramowej, Zamówienia, zgłoszenia przekazane przez SK, pocztę elektroniczną lub kanał awaryjny oraz inne dyspozycje przekazane w formie dokumentowej.</w:t>
      </w:r>
    </w:p>
    <w:p>
      <w:pPr>
        <w:pStyle w:val="Normal"/>
        <w:spacing w:lineRule="auto" w:line="252" w:before="0" w:after="60"/>
        <w:rPr/>
      </w:pPr>
      <w:r>
        <w:rPr>
          <w:b/>
        </w:rPr>
        <w:t xml:space="preserve">3.2. </w:t>
      </w:r>
      <w:r>
        <w:rPr/>
        <w:t>Procesor nie jest uprawniony do wykorzystywania Danych Powierzonych do własnych celów, w szczególności do celów marketingowych, sprzedażowych lub analitycznych niezwiązanych z realizacją Umowy ramowej.</w:t>
      </w:r>
    </w:p>
    <w:p>
      <w:pPr>
        <w:pStyle w:val="Normal"/>
        <w:spacing w:lineRule="auto" w:line="252" w:before="0" w:after="60"/>
        <w:rPr/>
      </w:pPr>
      <w:r>
        <w:rPr>
          <w:b/>
        </w:rPr>
        <w:t xml:space="preserve">3.3. </w:t>
      </w:r>
      <w:r>
        <w:rPr/>
        <w:t>Procesor zapewnia, że osoby upoważnione do przetwarzania Danych Powierzonych zobowiązały się do ich w zachowania poufności albo podlegają ustawowemu obowiązkowi zachowania ich w tajemnicy.</w:t>
      </w:r>
    </w:p>
    <w:p>
      <w:pPr>
        <w:pStyle w:val="Normal"/>
        <w:spacing w:lineRule="auto" w:line="252" w:before="0" w:after="60"/>
        <w:rPr/>
      </w:pPr>
      <w:r>
        <w:rPr>
          <w:b/>
        </w:rPr>
        <w:t xml:space="preserve">3.4. </w:t>
      </w:r>
      <w:r>
        <w:rPr/>
        <w:t>Procesor prowadzi ewidencję osób upoważnionych do przetwarzania Danych Powierzonych lub zapewnia inne równoważne mechanizmy rozliczalności dostępu do Danych Powierzonych.</w:t>
      </w:r>
    </w:p>
    <w:p>
      <w:pPr>
        <w:pStyle w:val="Normal"/>
        <w:spacing w:lineRule="auto" w:line="252" w:before="0" w:after="60"/>
        <w:rPr/>
      </w:pPr>
      <w:r>
        <w:rPr>
          <w:b/>
        </w:rPr>
        <w:t xml:space="preserve">3.5. </w:t>
      </w:r>
      <w:r>
        <w:rPr/>
        <w:t>Procesor niezwłocznie informuje Administratora, jeżeli jego zdaniem wydane polecenie może naruszać RODO lub inne przepisy o ochronie danych osobowych. Do czasu potwierdzenia albo zmiany polecenia przez Administratora Procesor może wstrzymać wykonanie polecenia w zakresie, w jakim jest to konieczne do uniknięcia naruszenia prawa. Potwierdzenie wydania polecenia przez Administratora pomimo informacji Procesora o tym, że polecenie może naruszać RODO lub inne przepisy o ochronie danych osobowych, zwalnia Procesora z jakiejkolwiek odpowiedzialności, gdy zostanie ono wykonane zgodnie z wolą Administratora oraz uprawnia Procesora do dochodzenia naprawienia szkody od Administratora, poniesionej w konsekwencji wykonania tego polecenia.</w:t>
      </w:r>
    </w:p>
    <w:p>
      <w:pPr>
        <w:pStyle w:val="Normal"/>
        <w:spacing w:lineRule="auto" w:line="252" w:before="0" w:after="60"/>
        <w:rPr/>
      </w:pPr>
      <w:r>
        <w:rPr>
          <w:b/>
        </w:rPr>
        <w:t xml:space="preserve">3.6. </w:t>
      </w:r>
      <w:r>
        <w:rPr/>
        <w:t>Administrator zobowiązuje się przekazywać Procesorowi wyłącznie dane niezbędne do realizacji Umowy ramowej.</w:t>
      </w:r>
    </w:p>
    <w:p>
      <w:pPr>
        <w:pStyle w:val="Normal"/>
        <w:spacing w:lineRule="auto" w:line="252" w:before="160" w:after="80"/>
        <w:rPr/>
      </w:pPr>
      <w:r>
        <w:rPr>
          <w:b/>
          <w:sz w:val="24"/>
        </w:rPr>
        <w:t>4. BEZPIECZEŃSTWO PRZETWARZANIA</w:t>
      </w:r>
    </w:p>
    <w:p>
      <w:pPr>
        <w:pStyle w:val="Normal"/>
        <w:spacing w:lineRule="auto" w:line="252" w:before="0" w:after="60"/>
        <w:rPr/>
      </w:pPr>
      <w:r>
        <w:rPr>
          <w:b/>
        </w:rPr>
        <w:t xml:space="preserve">4.1. </w:t>
      </w:r>
      <w:r>
        <w:rPr/>
        <w:t>Procesor wdraża i utrzymuje odpowiednie środki techniczne i organizacyjne zapewniające stopień bezpieczeństwa odpowiadający ryzyku naruszenia praw lub wolności osób fizycznych, zgodnie z art. 32 RODO.</w:t>
      </w:r>
    </w:p>
    <w:p>
      <w:pPr>
        <w:pStyle w:val="Normal"/>
        <w:spacing w:lineRule="auto" w:line="252" w:before="0" w:after="60"/>
        <w:rPr/>
      </w:pPr>
      <w:r>
        <w:rPr>
          <w:b/>
        </w:rPr>
        <w:t xml:space="preserve">4.2. </w:t>
      </w:r>
      <w:r>
        <w:rPr/>
        <w:t>Środki, o których mowa w pkt 4.1, obejmują co najmniej:</w:t>
      </w:r>
    </w:p>
    <w:p>
      <w:pPr>
        <w:pStyle w:val="Normal"/>
        <w:spacing w:lineRule="auto" w:line="252" w:before="0" w:after="40"/>
        <w:ind w:hanging="198" w:start="340"/>
        <w:rPr/>
      </w:pPr>
      <w:r>
        <w:rPr/>
        <w:t>a) kontrolę dostępu do systemów i danych, w tym nadawanie dostępu wyłącznie osobom upoważnionym;</w:t>
      </w:r>
    </w:p>
    <w:p>
      <w:pPr>
        <w:pStyle w:val="Normal"/>
        <w:spacing w:lineRule="auto" w:line="252" w:before="0" w:after="40"/>
        <w:ind w:hanging="198" w:start="340"/>
        <w:rPr/>
      </w:pPr>
      <w:r>
        <w:rPr/>
        <w:t>b) stosowanie haseł, uwierzytelniania lub innych mechanizmów identyfikacji użytkowników adekwatnych do ryzyka;</w:t>
      </w:r>
    </w:p>
    <w:p>
      <w:pPr>
        <w:pStyle w:val="Normal"/>
        <w:spacing w:lineRule="auto" w:line="252" w:before="0" w:after="40"/>
        <w:ind w:hanging="198" w:start="340"/>
        <w:rPr/>
      </w:pPr>
      <w:r>
        <w:rPr/>
        <w:t>c) rejestrowanie lub inną rozliczalność istotnych operacji wykonywanych na Danych Powierzonych w systemach OSD;</w:t>
      </w:r>
    </w:p>
    <w:p>
      <w:pPr>
        <w:pStyle w:val="Normal"/>
        <w:spacing w:lineRule="auto" w:line="252" w:before="0" w:after="40"/>
        <w:ind w:hanging="198" w:start="340"/>
        <w:rPr/>
      </w:pPr>
      <w:r>
        <w:rPr/>
        <w:t>d) zabezpieczenie transmisji danych w kanałach komunikacji elektronicznej adekwatnie do ryzyka;</w:t>
      </w:r>
    </w:p>
    <w:p>
      <w:pPr>
        <w:pStyle w:val="Normal"/>
        <w:spacing w:lineRule="auto" w:line="252" w:before="0" w:after="40"/>
        <w:ind w:hanging="198" w:start="340"/>
        <w:rPr/>
      </w:pPr>
      <w:r>
        <w:rPr/>
        <w:t>e) wykonywanie kopii zapasowych lub stosowanie innych środków zapewniających dostępność danych i możliwość odtworzenia dostępu do danych po incydencie technicznym;</w:t>
      </w:r>
    </w:p>
    <w:p>
      <w:pPr>
        <w:pStyle w:val="Normal"/>
        <w:spacing w:lineRule="auto" w:line="252" w:before="0" w:after="40"/>
        <w:ind w:hanging="198" w:start="340"/>
        <w:rPr/>
      </w:pPr>
      <w:r>
        <w:rPr/>
        <w:t>f) zabezpieczenie nośników i dokumentów papierowych przed dostępem osób nieupoważnionych;</w:t>
      </w:r>
    </w:p>
    <w:p>
      <w:pPr>
        <w:pStyle w:val="Normal"/>
        <w:spacing w:lineRule="auto" w:line="252" w:before="0" w:after="40"/>
        <w:ind w:hanging="198" w:start="340"/>
        <w:rPr/>
      </w:pPr>
      <w:r>
        <w:rPr/>
        <w:t>g) okresowe przeglądy uprawnień oraz procedury odbierania dostępu osobom, które utraciły podstawę dostępu;</w:t>
      </w:r>
    </w:p>
    <w:p>
      <w:pPr>
        <w:pStyle w:val="Normal"/>
        <w:spacing w:lineRule="auto" w:line="252" w:before="0" w:after="40"/>
        <w:ind w:hanging="198" w:start="340"/>
        <w:rPr/>
      </w:pPr>
      <w:r>
        <w:rPr/>
        <w:t>h) procedury postępowania z Naruszeniami ochrony danych osobowych.</w:t>
      </w:r>
    </w:p>
    <w:p>
      <w:pPr>
        <w:pStyle w:val="Normal"/>
        <w:spacing w:lineRule="auto" w:line="252" w:before="0" w:after="60"/>
        <w:rPr/>
      </w:pPr>
      <w:r>
        <w:rPr>
          <w:b/>
        </w:rPr>
        <w:t xml:space="preserve">4.3. </w:t>
      </w:r>
      <w:r>
        <w:rPr/>
        <w:t>Procesor może stosować inne lub dodatkowe środki bezpieczeństwa, jeżeli zapewniają one poziom ochrony nie niższy niż wymagany RODO i są adekwatne do charakteru, zakresu, kontekstu i celu przetwarzania.</w:t>
      </w:r>
    </w:p>
    <w:p>
      <w:pPr>
        <w:pStyle w:val="Normal"/>
        <w:spacing w:lineRule="auto" w:line="252" w:before="0" w:after="60"/>
        <w:rPr/>
      </w:pPr>
      <w:r>
        <w:rPr>
          <w:b/>
        </w:rPr>
        <w:t xml:space="preserve">4.4. </w:t>
      </w:r>
      <w:r>
        <w:rPr/>
        <w:t>Procesor zapewnia, że Dane Powierzone będą przechowywane i przetwarzane w sposób zabezpieczający je przed przypadkowym lub niezgodnym z prawem zniszczeniem, utratą, modyfikacją, nieuprawnionym ujawnieniem albo nieuprawnionym dostępem.</w:t>
      </w:r>
    </w:p>
    <w:p>
      <w:pPr>
        <w:pStyle w:val="Normal"/>
        <w:spacing w:lineRule="auto" w:line="252" w:before="160" w:after="80"/>
        <w:rPr/>
      </w:pPr>
      <w:r>
        <w:rPr>
          <w:b/>
          <w:sz w:val="24"/>
        </w:rPr>
        <w:t>5. NARUSZENIA, WSPARCIE ADMINISTRATORA I PRAWA OSÓB</w:t>
      </w:r>
    </w:p>
    <w:p>
      <w:pPr>
        <w:pStyle w:val="Normal"/>
        <w:spacing w:lineRule="auto" w:line="252" w:before="0" w:after="60"/>
        <w:rPr/>
      </w:pPr>
      <w:r>
        <w:rPr>
          <w:b/>
        </w:rPr>
        <w:t xml:space="preserve">5.1. </w:t>
      </w:r>
      <w:r>
        <w:rPr/>
        <w:t>Procesor powiadomi Administratora o Naruszeniu ochrony Danych Powierzonych niezwłocznie, nie później niż w terminie 24 godzin od jego stwierdzenia.</w:t>
      </w:r>
    </w:p>
    <w:p>
      <w:pPr>
        <w:pStyle w:val="Normal"/>
        <w:spacing w:lineRule="auto" w:line="252" w:before="0" w:after="60"/>
        <w:rPr/>
      </w:pPr>
      <w:r>
        <w:rPr>
          <w:b/>
        </w:rPr>
        <w:t xml:space="preserve">5.2. </w:t>
      </w:r>
      <w:r>
        <w:rPr/>
        <w:t>Zgłoszenie Naruszenia powinno zawierać, w miarę posiadanych informacji: opis charakteru Naruszenia, kategorie i przybliżoną liczbę osób, których dane dotyczą, kategorie i przybliżoną liczbę wpisów danych, możliwe konsekwencje Naruszenia, opis zastosowanych lub proponowanych środków zaradczych oraz dane osoby kontaktowej po stronie Procesora.</w:t>
      </w:r>
    </w:p>
    <w:p>
      <w:pPr>
        <w:pStyle w:val="Normal"/>
        <w:spacing w:lineRule="auto" w:line="252" w:before="0" w:after="60"/>
        <w:rPr/>
      </w:pPr>
      <w:r>
        <w:rPr>
          <w:b/>
        </w:rPr>
        <w:t xml:space="preserve">5.3. </w:t>
      </w:r>
      <w:r>
        <w:rPr/>
        <w:t>Procesor współpracuje z Administratorem przy wyjaśnianiu Naruszenia, ograniczaniu jego skutków, przygotowaniu zgłoszenia do organu nadzorczego oraz zawiadomienia osób, których dane dotyczą, jeżeli obowiązki takie obciążają Administratora.</w:t>
      </w:r>
    </w:p>
    <w:p>
      <w:pPr>
        <w:pStyle w:val="Normal"/>
        <w:spacing w:lineRule="auto" w:line="252" w:before="0" w:after="60"/>
        <w:rPr/>
      </w:pPr>
      <w:r>
        <w:rPr>
          <w:b/>
        </w:rPr>
        <w:t xml:space="preserve">5.4. </w:t>
      </w:r>
      <w:r>
        <w:rPr/>
        <w:t>Procesor, uwzględniając charakter przetwarzania i dostępne mu informacje, pomaga Administratorowi w realizacji obowiązków określonych w art. 32-36 RODO, w szczególności w zakresie bezpieczeństwa przetwarzania, zgłaszania Naruszeń, oceny skutków dla ochrony danych oraz konsultacji z organem nadzorczym.</w:t>
      </w:r>
    </w:p>
    <w:p>
      <w:pPr>
        <w:pStyle w:val="Normal"/>
        <w:spacing w:lineRule="auto" w:line="252" w:before="0" w:after="60"/>
        <w:rPr/>
      </w:pPr>
      <w:r>
        <w:rPr>
          <w:b/>
        </w:rPr>
        <w:t xml:space="preserve">5.5. </w:t>
      </w:r>
      <w:r>
        <w:rPr/>
        <w:t>Procesor, w miarę możliwości i z wykorzystaniem odpowiednich środków technicznych i organizacyjnych, pomaga Administratorowi w realizacji praw osób, których dane dotyczą, określonych w rozdziale III RODO. Jeżeli osoba, której dane dotyczą, zwróci się bezpośrednio do Procesora z żądaniem dotyczącym Danych Powierzonych, Procesor niezwłocznie przekaże żądanie Administratorowi, chyba że przepisy prawa wymagają innego działania.</w:t>
      </w:r>
    </w:p>
    <w:p>
      <w:pPr>
        <w:pStyle w:val="Normal"/>
        <w:spacing w:lineRule="auto" w:line="252" w:before="160" w:after="80"/>
        <w:rPr/>
      </w:pPr>
      <w:r>
        <w:rPr>
          <w:b/>
          <w:sz w:val="24"/>
        </w:rPr>
        <w:t>6. PODPOWIERZENIE I TRANSFERY POZA EOG</w:t>
      </w:r>
    </w:p>
    <w:p>
      <w:pPr>
        <w:pStyle w:val="Normal"/>
        <w:spacing w:lineRule="auto" w:line="252" w:before="0" w:after="60"/>
        <w:rPr/>
      </w:pPr>
      <w:r>
        <w:rPr>
          <w:b/>
        </w:rPr>
        <w:t xml:space="preserve">6.1. </w:t>
      </w:r>
      <w:r>
        <w:rPr/>
        <w:t>Administrator udziela Procesorowi ogólnej zgody na korzystanie z Podprocesorów w zakresie niezbędnym do wykonania Umowy ramowej, w szczególności dostawców systemów IT, hostingu, utrzymania SK, obsługi technicznej, serwisu sieci, instalacji, usuwania Awarii, utrzymania infrastruktury oraz usług bezpieczeństwa informatycznego.</w:t>
      </w:r>
    </w:p>
    <w:p>
      <w:pPr>
        <w:pStyle w:val="Normal"/>
        <w:spacing w:lineRule="auto" w:line="252" w:before="0" w:after="60"/>
        <w:rPr/>
      </w:pPr>
      <w:r>
        <w:rPr>
          <w:b/>
        </w:rPr>
        <w:t xml:space="preserve">6.2. </w:t>
      </w:r>
      <w:r>
        <w:rPr/>
        <w:t>Procesor poinformuje Administratora o planowanym dodaniu lub zastąpieniu Podprocesora co najmniej 14 dni przed rozpoczęciem przetwarzania przez tego Podprocesora, chyba że pilny charakter czynności wynika z konieczności zapewnienia ciągłości lub bezpieczeństwa Usług. Administrator może w tym terminie zgłosić uzasadniony sprzeciw wobec korzystania z Podprocesora.</w:t>
      </w:r>
    </w:p>
    <w:p>
      <w:pPr>
        <w:pStyle w:val="Normal"/>
        <w:spacing w:lineRule="auto" w:line="252" w:before="0" w:after="60"/>
        <w:rPr/>
      </w:pPr>
      <w:r>
        <w:rPr>
          <w:b/>
        </w:rPr>
        <w:t xml:space="preserve">6.3. </w:t>
      </w:r>
      <w:r>
        <w:rPr/>
        <w:t>Procesor zobowiązuje Podprocesora do przestrzegania obowiązków ochrony danych osobowych nie mniej rygorystycznych niż wynikające z niniejszej Umowy Powierzenia. Procesor pozostaje wobec Administratora odpowiedzialny za działania i zaniechania Podprocesora jak za własne działania i zaniechania.</w:t>
      </w:r>
    </w:p>
    <w:p>
      <w:pPr>
        <w:pStyle w:val="Normal"/>
        <w:spacing w:lineRule="auto" w:line="252" w:before="0" w:after="60"/>
        <w:rPr/>
      </w:pPr>
      <w:r>
        <w:rPr>
          <w:b/>
        </w:rPr>
        <w:t xml:space="preserve">6.4. </w:t>
      </w:r>
      <w:r>
        <w:rPr/>
        <w:t>Procesor prowadzi aktualną listę kategorii Podprocesorów lub Podprocesorów wykorzystywanych do przetwarzania Danych Powierzonych i udostępnia ją Administratorowi na jego żądanie. Lista Podprocesorów na dzień zawarcia Umowy Powierzenia: [do uzupełnienia przez OSD przed zawarciem Umowy, a jeżeli brak podprocesorów – wpisać „brak”].</w:t>
      </w:r>
    </w:p>
    <w:p>
      <w:pPr>
        <w:pStyle w:val="Normal"/>
        <w:spacing w:lineRule="auto" w:line="252" w:before="0" w:after="60"/>
        <w:rPr/>
      </w:pPr>
      <w:r>
        <w:rPr>
          <w:b/>
        </w:rPr>
        <w:t xml:space="preserve">6.5. </w:t>
      </w:r>
      <w:r>
        <w:rPr/>
        <w:t>Procesor nie przekazuje Danych Powierzonych do państw trzecich ani organizacji międzynarodowych, chyba że spełnione są warunki rozdziału V RODO, Administrator został uprzednio poinformowany o takim transferze, a transfer jest niezbędny do wykonania Umowy ramowej albo wymagany przepisami prawa.</w:t>
      </w:r>
    </w:p>
    <w:p>
      <w:pPr>
        <w:pStyle w:val="Normal"/>
        <w:spacing w:lineRule="auto" w:line="252" w:before="160" w:after="80"/>
        <w:rPr/>
      </w:pPr>
      <w:r>
        <w:rPr>
          <w:b/>
          <w:sz w:val="24"/>
        </w:rPr>
        <w:t>7. AUDYT, ZAKOŃCZENIE PRZETWARZANIA I USUNIĘCIE DANYCH</w:t>
      </w:r>
    </w:p>
    <w:p>
      <w:pPr>
        <w:pStyle w:val="Normal"/>
        <w:spacing w:lineRule="auto" w:line="252" w:before="0" w:after="60"/>
        <w:rPr/>
      </w:pPr>
      <w:r>
        <w:rPr>
          <w:b/>
        </w:rPr>
        <w:t xml:space="preserve">7.1. </w:t>
      </w:r>
      <w:r>
        <w:rPr/>
        <w:t>Procesor udostępnia Administratorowi informacje niezbędne do wykazania spełnienia obowiązków wynikających z art. 28 RODO oraz umożliwia Administratorowi lub upoważnionemu audytorowi przeprowadzenie audytu, w zakresie dotyczącym Danych Powierzonych, po uprzednim uzgodnieniu terminu i zakresu audytu z co najmniej 10-dniowym wyprzedzeniem, z zastrzeżeniem pkt 7.4.</w:t>
      </w:r>
    </w:p>
    <w:p>
      <w:pPr>
        <w:pStyle w:val="Normal"/>
        <w:spacing w:lineRule="auto" w:line="252" w:before="0" w:after="60"/>
        <w:rPr/>
      </w:pPr>
      <w:r>
        <w:rPr>
          <w:b/>
        </w:rPr>
        <w:t xml:space="preserve">7.2. </w:t>
      </w:r>
      <w:r>
        <w:rPr/>
        <w:t>Po zakończeniu świadczenia usług związanych z przetwarzaniem Danych Powierzonych Procesor, zależnie od udokumentowanej decyzji Administratora, usuwa Dane Powierzone albo zwraca je Administratorowi i usuwa istniejące kopie, chyba że prawo Unii lub prawo państwa członkowskiego nakłada na Procesora obowiązek dalszego przechowywania danych.</w:t>
      </w:r>
    </w:p>
    <w:p>
      <w:pPr>
        <w:pStyle w:val="Normal"/>
        <w:spacing w:lineRule="auto" w:line="252" w:before="0" w:after="60"/>
        <w:rPr/>
      </w:pPr>
      <w:r>
        <w:rPr>
          <w:b/>
        </w:rPr>
        <w:t xml:space="preserve">7.3. </w:t>
      </w:r>
      <w:r>
        <w:rPr/>
        <w:t>Usunięcie lub zwrot Danych Powierzonych powinny zostać potwierdzone w formie dokumentowej na żądanie Administratora. Obowiązek usunięcia lub zwrotu nie dotyczy danych przetwarzanych przez OSD jako odrębnego administratora.</w:t>
      </w:r>
    </w:p>
    <w:p>
      <w:pPr>
        <w:pStyle w:val="Normal"/>
        <w:spacing w:lineRule="auto" w:line="252" w:before="0" w:after="60"/>
        <w:rPr/>
      </w:pPr>
      <w:r>
        <w:rPr>
          <w:b/>
        </w:rPr>
        <w:t xml:space="preserve">7.4. </w:t>
      </w:r>
      <w:r>
        <w:rPr/>
        <w:t>Audyt nie może naruszać tajemnicy przedsiębiorstwa OSD, bezpieczeństwa Sieci KPO4, bezpieczeństwa innych klientów OSD ani poufności danych innych podmiotów. W uzasadnionych przypadkach Procesor może zaproponować zamiast kontroli w miejscu przetwarzania przekazanie dokumentów, oświadczeń, wyników audytów zewnętrznych lub innych dowodów potwierdzających zgodność przetwarzania z RODO.</w:t>
      </w:r>
    </w:p>
    <w:p>
      <w:pPr>
        <w:pStyle w:val="Normal"/>
        <w:spacing w:lineRule="auto" w:line="252" w:before="0" w:after="60"/>
        <w:rPr/>
      </w:pPr>
      <w:r>
        <w:rPr>
          <w:b/>
        </w:rPr>
        <w:t xml:space="preserve">7.5. </w:t>
      </w:r>
      <w:r>
        <w:rPr/>
        <w:t>Procesor zastosuje się do uzasadnionych zaleceń Administratora dotyczących Danych Powierzonych, jeżeli są one niezbędne do zapewnienia zgodności z RODO i nie pozostają w sprzeczności z przepisami prawa, Umową ramową ani obowiązkami OSD jako operatora sieci.</w:t>
      </w:r>
    </w:p>
    <w:p>
      <w:pPr>
        <w:pStyle w:val="Normal"/>
        <w:spacing w:lineRule="auto" w:line="252" w:before="160" w:after="80"/>
        <w:rPr/>
      </w:pPr>
      <w:r>
        <w:rPr>
          <w:b/>
          <w:sz w:val="24"/>
        </w:rPr>
        <w:t>8. WZAJEMNE UDOSTĘPNIANIE DANYCH OSÓB KONTAKTOWYCH STRON</w:t>
      </w:r>
    </w:p>
    <w:p>
      <w:pPr>
        <w:pStyle w:val="Normal"/>
        <w:spacing w:lineRule="auto" w:line="252" w:before="0" w:after="60"/>
        <w:rPr/>
      </w:pPr>
      <w:r>
        <w:rPr>
          <w:b/>
        </w:rPr>
        <w:t xml:space="preserve">8.1. </w:t>
      </w:r>
      <w:r>
        <w:rPr/>
        <w:t>Niezależnie od powierzenia, o którym mowa w pkt 2, Strony będą udostępniać sobie dane osobowe osób reprezentujących Strony, pracowników, współpracowników oraz osób kontaktowych w zakresie niezbędnym do zawarcia, realizacji, rozliczenia, obsługi i zakończenia Umowy ramowej.</w:t>
      </w:r>
    </w:p>
    <w:p>
      <w:pPr>
        <w:pStyle w:val="Normal"/>
        <w:spacing w:lineRule="auto" w:line="252" w:before="0" w:after="60"/>
        <w:rPr/>
      </w:pPr>
      <w:r>
        <w:rPr>
          <w:b/>
        </w:rPr>
        <w:t xml:space="preserve">8.2. </w:t>
      </w:r>
      <w:r>
        <w:rPr/>
        <w:t>W zakresie danych, o których mowa w pkt 8.1, każda ze Stron jest odrębnym administratorem danych i przetwarza dane na podstawie właściwej przesłanki legalizującej, w szczególności prawnie uzasadnionego interesu polegającego na zawarciu, realizacji, dochodzeniu roszczeń i obsłudze Umowy ramowej, a także w celu wykonania obowiązków prawnych.</w:t>
      </w:r>
    </w:p>
    <w:p>
      <w:pPr>
        <w:pStyle w:val="Normal"/>
        <w:spacing w:lineRule="auto" w:line="252" w:before="0" w:after="60"/>
        <w:rPr/>
      </w:pPr>
      <w:r>
        <w:rPr>
          <w:b/>
        </w:rPr>
        <w:t xml:space="preserve">8.3. </w:t>
      </w:r>
      <w:r>
        <w:rPr/>
        <w:t>Kategorie danych, o których mowa w pkt 8.1, obejmują w szczególności: imię, nazwisko, stanowisko, funkcję, służbowy adres e-mail, służbowy numer telefonu, dane identyfikujące przedsiębiorcę, dane pełnomocnictwa lub umocowania oraz treść korespondencji związanej z realizacją Umowy ramowej.</w:t>
      </w:r>
    </w:p>
    <w:p>
      <w:pPr>
        <w:pStyle w:val="Normal"/>
        <w:spacing w:lineRule="auto" w:line="252" w:before="0" w:after="60"/>
        <w:rPr/>
      </w:pPr>
      <w:r>
        <w:rPr>
          <w:b/>
        </w:rPr>
        <w:t xml:space="preserve">8.4. </w:t>
      </w:r>
      <w:r>
        <w:rPr/>
        <w:t>Każda ze Stron realizuje wobec osób, których dane udostępnia drugiej Stronie, obowiązek informacyjny wymagany przez RODO, w tym przekazuje informacje o drugiej Stronie jako odbiorcy danych albo kategorii odbiorców.</w:t>
      </w:r>
    </w:p>
    <w:p>
      <w:pPr>
        <w:pStyle w:val="Normal"/>
        <w:spacing w:lineRule="auto" w:line="252" w:before="0" w:after="60"/>
        <w:rPr/>
      </w:pPr>
      <w:r>
        <w:rPr>
          <w:b/>
        </w:rPr>
        <w:t xml:space="preserve">8.5. </w:t>
      </w:r>
      <w:r>
        <w:rPr/>
        <w:t>Dane, o których mowa w pkt 8.1, są przechowywane przez okres obowiązywania Umowy ramowej, a następnie przez okres przedawnienia roszczeń, okres wymagany przepisami prawa lub okres niezbędny do wykazania prawidłowej realizacji obowiązków Stron.</w:t>
      </w:r>
    </w:p>
    <w:p>
      <w:pPr>
        <w:pStyle w:val="Normal"/>
        <w:spacing w:lineRule="auto" w:line="252" w:before="160" w:after="80"/>
        <w:rPr/>
      </w:pPr>
      <w:r>
        <w:rPr>
          <w:b/>
          <w:sz w:val="24"/>
        </w:rPr>
        <w:t>9. POSTANOWIENIA KOŃCOWE</w:t>
      </w:r>
    </w:p>
    <w:p>
      <w:pPr>
        <w:pStyle w:val="Normal"/>
        <w:spacing w:lineRule="auto" w:line="252" w:before="0" w:after="60"/>
        <w:rPr/>
      </w:pPr>
      <w:r>
        <w:rPr>
          <w:b/>
        </w:rPr>
        <w:t xml:space="preserve">9.1. </w:t>
      </w:r>
      <w:r>
        <w:rPr/>
        <w:t>Umowa Powierzenia wchodzi w życie z dniem jej podpisania i obowiązuje przez okres obowiązywania Umowy ramowej, a po jej zakończeniu w zakresie niezbędnym do wykonania obowiązków zwrotu, usunięcia, archiwizacji, rozliczenia, dochodzenia lub obrony roszczeń.</w:t>
      </w:r>
    </w:p>
    <w:p>
      <w:pPr>
        <w:pStyle w:val="Normal"/>
        <w:spacing w:lineRule="auto" w:line="252" w:before="0" w:after="60"/>
        <w:rPr/>
      </w:pPr>
      <w:r>
        <w:rPr>
          <w:b/>
        </w:rPr>
        <w:t xml:space="preserve">9.2. </w:t>
      </w:r>
      <w:r>
        <w:rPr/>
        <w:t>W sprawach nieuregulowanych Umową Powierzenia zastosowanie mają powszechnie obowiązujące przepisy prawa, w szczególności RODO, przepisy dotyczące ochrony danych osobowych oraz Kodeks cywilny.</w:t>
      </w:r>
    </w:p>
    <w:p>
      <w:pPr>
        <w:pStyle w:val="Normal"/>
        <w:spacing w:lineRule="auto" w:line="252" w:before="0" w:after="60"/>
        <w:rPr/>
      </w:pPr>
      <w:r>
        <w:rPr>
          <w:b/>
        </w:rPr>
        <w:t xml:space="preserve">9.3. </w:t>
      </w:r>
      <w:r>
        <w:rPr/>
        <w:t>W przypadku sprzeczności pomiędzy Umową Powierzenia a Umową ramową w zakresie ochrony Danych Powierzonych pierwszeństwo mają postanowienia Umowy Powierzenia, chyba że bezwzględnie obowiązujące przepisy prawa stanowią inaczej.</w:t>
      </w:r>
    </w:p>
    <w:p>
      <w:pPr>
        <w:pStyle w:val="Normal"/>
        <w:spacing w:lineRule="auto" w:line="252" w:before="0" w:after="60"/>
        <w:rPr/>
      </w:pPr>
      <w:r>
        <w:rPr>
          <w:b/>
        </w:rPr>
        <w:t xml:space="preserve">9.4. </w:t>
      </w:r>
      <w:r>
        <w:rPr/>
        <w:t>Zmiany Umowy Powierzenia wymagają formy pisemnej albo kwalifikowanej formy elektronicznej pod rygorem nieważności, z zastrzeżeniem aktualizacji listy Podprocesorów zgodnie z pkt 6.2-6.4.</w:t>
      </w:r>
    </w:p>
    <w:p>
      <w:pPr>
        <w:pStyle w:val="Normal"/>
        <w:spacing w:lineRule="auto" w:line="252" w:before="0" w:after="60"/>
        <w:rPr/>
      </w:pPr>
      <w:r>
        <w:rPr>
          <w:b/>
        </w:rPr>
        <w:t xml:space="preserve">9.5. </w:t>
      </w:r>
      <w:r>
        <w:rPr/>
        <w:t>Umowa Powierzenia została sporządzona w dwóch jednobrzmiących egzemplarzach, po jednym dla każdej ze Stron, albo w jednym egzemplarzu elektronicznym podpisanym kwalifikowanymi podpisami elektronicznymi przez obie Strony.</w:t>
      </w:r>
    </w:p>
    <w:p>
      <w:pPr>
        <w:pStyle w:val="Normal"/>
        <w:spacing w:lineRule="auto" w:line="252" w:before="0" w:after="60"/>
        <w:rPr/>
      </w:pPr>
      <w:r>
        <w:rPr/>
      </w:r>
    </w:p>
    <w:tbl>
      <w:tblPr>
        <w:tblW w:w="9632" w:type="dxa"/>
        <w:jc w:val="center"/>
        <w:tblInd w:w="0" w:type="dxa"/>
        <w:tblLayout w:type="fixed"/>
        <w:tblCellMar>
          <w:top w:w="0" w:type="dxa"/>
          <w:start w:w="108" w:type="dxa"/>
          <w:bottom w:w="0" w:type="dxa"/>
          <w:end w:w="108" w:type="dxa"/>
        </w:tblCellMar>
        <w:tblLook w:val="04a0" w:noVBand="1" w:noHBand="0" w:lastColumn="0" w:firstColumn="1" w:lastRow="0" w:firstRow="1"/>
      </w:tblPr>
      <w:tblGrid>
        <w:gridCol w:w="4816"/>
        <w:gridCol w:w="4816"/>
      </w:tblGrid>
      <w:tr>
        <w:trPr/>
        <w:tc>
          <w:tcPr>
            <w:tcW w:w="4816" w:type="dxa"/>
            <w:tcBorders/>
            <w:vAlign w:val="center"/>
          </w:tcPr>
          <w:p>
            <w:pPr>
              <w:pStyle w:val="Normal"/>
              <w:jc w:val="center"/>
              <w:rPr/>
            </w:pPr>
            <w:r>
              <w:rPr>
                <w:b/>
              </w:rPr>
              <w:t>Za Procesora / OSD</w:t>
            </w:r>
          </w:p>
        </w:tc>
        <w:tc>
          <w:tcPr>
            <w:tcW w:w="4816" w:type="dxa"/>
            <w:tcBorders/>
            <w:vAlign w:val="center"/>
          </w:tcPr>
          <w:p>
            <w:pPr>
              <w:pStyle w:val="Normal"/>
              <w:jc w:val="center"/>
              <w:rPr/>
            </w:pPr>
            <w:r>
              <w:rPr>
                <w:b/>
              </w:rPr>
              <w:t>Za Administratora / OK</w:t>
            </w:r>
          </w:p>
        </w:tc>
      </w:tr>
      <w:tr>
        <w:trPr/>
        <w:tc>
          <w:tcPr>
            <w:tcW w:w="4816" w:type="dxa"/>
            <w:tcBorders/>
            <w:vAlign w:val="center"/>
          </w:tcPr>
          <w:p>
            <w:pPr>
              <w:pStyle w:val="Normal"/>
              <w:jc w:val="center"/>
              <w:rPr/>
            </w:pPr>
            <w:r>
              <w:rPr/>
              <w:br/>
              <w:br/>
              <w:t>.........................................................</w:t>
              <w:br/>
              <w:t>(data i podpis)</w:t>
            </w:r>
          </w:p>
        </w:tc>
        <w:tc>
          <w:tcPr>
            <w:tcW w:w="4816" w:type="dxa"/>
            <w:tcBorders/>
            <w:vAlign w:val="center"/>
          </w:tcPr>
          <w:p>
            <w:pPr>
              <w:pStyle w:val="Normal"/>
              <w:jc w:val="center"/>
              <w:rPr/>
            </w:pPr>
            <w:r>
              <w:rPr/>
              <w:br/>
              <w:br/>
              <w:t>.........................................................</w:t>
              <w:br/>
              <w:t>(data i podpis)</w:t>
            </w:r>
          </w:p>
        </w:tc>
      </w:tr>
      <w:tr>
        <w:trPr/>
        <w:tc>
          <w:tcPr>
            <w:tcW w:w="4816" w:type="dxa"/>
            <w:tcBorders/>
            <w:vAlign w:val="center"/>
          </w:tcPr>
          <w:p>
            <w:pPr>
              <w:pStyle w:val="Normal"/>
              <w:jc w:val="center"/>
              <w:rPr/>
            </w:pPr>
            <w:r>
              <w:rPr/>
            </w:r>
          </w:p>
        </w:tc>
        <w:tc>
          <w:tcPr>
            <w:tcW w:w="4816" w:type="dxa"/>
            <w:tcBorders/>
            <w:vAlign w:val="center"/>
          </w:tcPr>
          <w:p>
            <w:pPr>
              <w:pStyle w:val="Normal"/>
              <w:jc w:val="center"/>
              <w:rPr/>
            </w:pPr>
            <w:r>
              <w:rPr/>
            </w:r>
          </w:p>
        </w:tc>
      </w:tr>
    </w:tbl>
    <w:p>
      <w:pPr>
        <w:pStyle w:val="Normal"/>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283" w:top="1701" w:footer="283" w:bottom="136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380753961"/>
      <w:docPartObj>
        <w:docPartGallery w:val="Page Numbers (Bottom of Page)"/>
        <w:docPartUnique w:val="true"/>
      </w:docPartObj>
    </w:sdtPr>
    <w:sdtContent>
      <w:p>
        <w:pPr>
          <w:pStyle w:val="Footer"/>
          <w:jc w:val="end"/>
          <w:rPr/>
        </w:pPr>
        <w:r>
          <w:rPr/>
          <w:fldChar w:fldCharType="begin"/>
        </w:r>
        <w:r>
          <w:rPr/>
          <w:instrText xml:space="preserve"> PAGE </w:instrText>
        </w:r>
        <w:r>
          <w:rPr/>
          <w:fldChar w:fldCharType="separate"/>
        </w:r>
        <w:r>
          <w:rPr/>
          <w:t>6</w:t>
        </w:r>
        <w:r>
          <w:rPr/>
          <w:fldChar w:fldCharType="end"/>
        </w:r>
      </w:p>
    </w:sdtContent>
  </w:sdt>
  <w:p>
    <w:pPr>
      <w:pStyle w:val="Normal"/>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380753961"/>
      <w:docPartObj>
        <w:docPartGallery w:val="Page Numbers (Bottom of Page)"/>
        <w:docPartUnique w:val="true"/>
      </w:docPartObj>
    </w:sdtPr>
    <w:sdtContent>
      <w:p>
        <w:pPr>
          <w:pStyle w:val="Footer"/>
          <w:jc w:val="end"/>
          <w:rPr/>
        </w:pPr>
        <w:r>
          <w:rPr/>
          <w:fldChar w:fldCharType="begin"/>
        </w:r>
        <w:r>
          <w:rPr/>
          <w:instrText xml:space="preserve"> PAGE </w:instrText>
        </w:r>
        <w:r>
          <w:rPr/>
          <w:fldChar w:fldCharType="separate"/>
        </w:r>
        <w:r>
          <w:rPr/>
          <w:t>6</w:t>
        </w:r>
        <w:r>
          <w:rPr/>
          <w:fldChar w:fldCharType="end"/>
        </w:r>
      </w:p>
    </w:sdtContent>
  </w:sdt>
  <w:p>
    <w:pPr>
      <w:pStyle w:val="Normal"/>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drawing>
        <wp:inline distT="0" distB="0" distL="0" distR="0">
          <wp:extent cx="6047740" cy="795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6047740" cy="79565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drawing>
        <wp:inline distT="0" distB="0" distL="0" distR="0">
          <wp:extent cx="6047740" cy="7956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tretch>
                    <a:fillRect/>
                  </a:stretch>
                </pic:blipFill>
                <pic:spPr bwMode="auto">
                  <a:xfrm>
                    <a:off x="0" y="0"/>
                    <a:ext cx="6047740" cy="795655"/>
                  </a:xfrm>
                  <a:prstGeom prst="rect">
                    <a:avLst/>
                  </a:prstGeom>
                  <a:noFill/>
                </pic:spPr>
              </pic:pic>
            </a:graphicData>
          </a:graphic>
        </wp:inline>
      </w:drawing>
    </w:r>
  </w:p>
</w:hdr>
</file>

<file path=word/settings.xml><?xml version="1.0" encoding="utf-8"?>
<w:settings xmlns:w="http://schemas.openxmlformats.org/wordprocessingml/2006/main">
  <w:zoom w:percent="100"/>
  <w:defaultTabStop w:val="720"/>
  <w:autoHyphenation w:val="true"/>
  <w:hyphenationZone w:val="0"/>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start"/>
    </w:pPr>
    <w:rPr>
      <w:rFonts w:ascii="Arial" w:hAnsi="Arial" w:eastAsia="Arial" w:cs="Times New Roman"/>
      <w:color w:val="auto"/>
      <w:kern w:val="0"/>
      <w:sz w:val="20"/>
      <w:szCs w:val="22"/>
      <w:lang w:val="pl-PL" w:eastAsia="en-US" w:bidi="ar-SA"/>
    </w:rPr>
  </w:style>
  <w:style w:type="paragraph" w:styleId="Heading1">
    <w:name w:val="heading 1"/>
    <w:basedOn w:val="Normal"/>
    <w:uiPriority w:val="9"/>
    <w:qFormat/>
    <w:pPr>
      <w:ind w:start="2"/>
      <w:outlineLvl w:val="0"/>
    </w:pPr>
    <w:rPr>
      <w:b/>
      <w:bCs/>
      <w:sz w:val="24"/>
      <w:szCs w:val="24"/>
    </w:rPr>
  </w:style>
  <w:style w:type="paragraph" w:styleId="Heading2">
    <w:name w:val="heading 2"/>
    <w:basedOn w:val="Normal"/>
    <w:uiPriority w:val="9"/>
    <w:unhideWhenUsed/>
    <w:qFormat/>
    <w:pPr>
      <w:spacing w:before="120" w:after="0"/>
      <w:ind w:hanging="240" w:start="242"/>
      <w:outlineLvl w:val="1"/>
    </w:pPr>
    <w:rPr>
      <w:sz w:val="24"/>
      <w:szCs w:val="24"/>
    </w:rPr>
  </w:style>
  <w:style w:type="character" w:styleId="DefaultParagraphFont" w:default="1">
    <w:name w:val="Default Paragraph Font"/>
    <w:uiPriority w:val="1"/>
    <w:semiHidden/>
    <w:unhideWhenUsed/>
    <w:qFormat/>
    <w:rPr/>
  </w:style>
  <w:style w:type="character" w:styleId="CommentReference">
    <w:name w:val="annotation reference"/>
    <w:basedOn w:val="DefaultParagraphFont"/>
    <w:uiPriority w:val="99"/>
    <w:semiHidden/>
    <w:unhideWhenUsed/>
    <w:qFormat/>
    <w:rsid w:val="00410f8a"/>
    <w:rPr>
      <w:sz w:val="16"/>
      <w:szCs w:val="16"/>
    </w:rPr>
  </w:style>
  <w:style w:type="character" w:styleId="CommentTextChar" w:customStyle="1">
    <w:name w:val="Comment Text Char"/>
    <w:basedOn w:val="DefaultParagraphFont"/>
    <w:link w:val="CommentText"/>
    <w:uiPriority w:val="99"/>
    <w:qFormat/>
    <w:rsid w:val="00410f8a"/>
    <w:rPr>
      <w:rFonts w:ascii="Arial" w:hAnsi="Arial" w:eastAsia="Arial" w:cs="Times New Roman"/>
      <w:sz w:val="20"/>
      <w:szCs w:val="20"/>
      <w:lang w:val="pl-PL"/>
    </w:rPr>
  </w:style>
  <w:style w:type="character" w:styleId="CommentSubjectChar" w:customStyle="1">
    <w:name w:val="Comment Subject Char"/>
    <w:basedOn w:val="CommentTextChar"/>
    <w:link w:val="annotationsubject"/>
    <w:uiPriority w:val="99"/>
    <w:semiHidden/>
    <w:qFormat/>
    <w:rsid w:val="00410f8a"/>
    <w:rPr>
      <w:rFonts w:ascii="Arial" w:hAnsi="Arial" w:eastAsia="Arial" w:cs="Times New Roman"/>
      <w:b/>
      <w:bCs/>
      <w:sz w:val="20"/>
      <w:szCs w:val="20"/>
      <w:lang w:val="pl-PL"/>
    </w:rPr>
  </w:style>
  <w:style w:type="character" w:styleId="HeaderChar" w:customStyle="1">
    <w:name w:val="Header Char"/>
    <w:basedOn w:val="DefaultParagraphFont"/>
    <w:link w:val="Header"/>
    <w:uiPriority w:val="99"/>
    <w:qFormat/>
    <w:rsid w:val="00bc6b2c"/>
    <w:rPr>
      <w:rFonts w:ascii="Arial" w:hAnsi="Arial" w:eastAsia="Arial" w:cs="Times New Roman"/>
      <w:sz w:val="20"/>
      <w:lang w:val="pl-PL"/>
    </w:rPr>
  </w:style>
  <w:style w:type="character" w:styleId="FooterChar" w:customStyle="1">
    <w:name w:val="Footer Char"/>
    <w:basedOn w:val="DefaultParagraphFont"/>
    <w:link w:val="Footer"/>
    <w:uiPriority w:val="99"/>
    <w:qFormat/>
    <w:rsid w:val="00bc6b2c"/>
    <w:rPr>
      <w:rFonts w:ascii="Arial" w:hAnsi="Arial" w:eastAsia="Arial" w:cs="Times New Roman"/>
      <w:sz w:val="20"/>
      <w:lang w:val="pl-PL"/>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uiPriority w:val="1"/>
    <w:qFormat/>
    <w:pPr>
      <w:spacing w:before="120" w:after="0"/>
      <w:ind w:start="713"/>
    </w:pPr>
    <w:rPr>
      <w:szCs w:val="24"/>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uiPriority w:val="1"/>
    <w:qFormat/>
    <w:pPr>
      <w:spacing w:before="120" w:after="0"/>
      <w:ind w:start="713"/>
    </w:pPr>
    <w:rPr/>
  </w:style>
  <w:style w:type="paragraph" w:styleId="TableParagraph" w:customStyle="1">
    <w:name w:val="Table Paragraph"/>
    <w:basedOn w:val="Normal"/>
    <w:uiPriority w:val="1"/>
    <w:qFormat/>
    <w:pPr/>
    <w:rPr/>
  </w:style>
  <w:style w:type="paragraph" w:styleId="Revision">
    <w:name w:val="Revision"/>
    <w:uiPriority w:val="99"/>
    <w:semiHidden/>
    <w:qFormat/>
    <w:rsid w:val="00d5362a"/>
    <w:pPr>
      <w:widowControl/>
      <w:bidi w:val="0"/>
      <w:spacing w:before="0" w:after="0"/>
      <w:jc w:val="start"/>
    </w:pPr>
    <w:rPr>
      <w:rFonts w:ascii="Arial" w:hAnsi="Arial" w:eastAsia="Arial" w:cs="Times New Roman"/>
      <w:color w:val="auto"/>
      <w:kern w:val="0"/>
      <w:sz w:val="20"/>
      <w:szCs w:val="22"/>
      <w:lang w:val="pl-PL" w:eastAsia="en-US" w:bidi="ar-SA"/>
    </w:rPr>
  </w:style>
  <w:style w:type="paragraph" w:styleId="CommentText">
    <w:name w:val="annotation text"/>
    <w:basedOn w:val="Normal"/>
    <w:link w:val="CommentTextChar"/>
    <w:uiPriority w:val="99"/>
    <w:unhideWhenUsed/>
    <w:rsid w:val="00410f8a"/>
    <w:pPr/>
    <w:rPr>
      <w:szCs w:val="20"/>
    </w:rPr>
  </w:style>
  <w:style w:type="paragraph" w:styleId="annotationsubject">
    <w:name w:val="annotation subject"/>
    <w:basedOn w:val="CommentText"/>
    <w:next w:val="CommentText"/>
    <w:link w:val="CommentSubjectChar"/>
    <w:uiPriority w:val="99"/>
    <w:semiHidden/>
    <w:unhideWhenUsed/>
    <w:qFormat/>
    <w:rsid w:val="00410f8a"/>
    <w:pPr/>
    <w:rPr>
      <w:b/>
      <w:bCs/>
    </w:rPr>
  </w:style>
  <w:style w:type="paragraph" w:styleId="HeaderandFooter">
    <w:name w:val="Header and Footer"/>
    <w:basedOn w:val="Normal"/>
    <w:qFormat/>
    <w:pPr/>
    <w:rPr/>
  </w:style>
  <w:style w:type="paragraph" w:styleId="Header">
    <w:name w:val="header"/>
    <w:basedOn w:val="Normal"/>
    <w:link w:val="HeaderChar"/>
    <w:uiPriority w:val="99"/>
    <w:unhideWhenUsed/>
    <w:rsid w:val="00bc6b2c"/>
    <w:pPr>
      <w:tabs>
        <w:tab w:val="clear" w:pos="720"/>
        <w:tab w:val="center" w:pos="4536" w:leader="none"/>
        <w:tab w:val="right" w:pos="9072" w:leader="none"/>
      </w:tabs>
    </w:pPr>
    <w:rPr/>
  </w:style>
  <w:style w:type="paragraph" w:styleId="Footer">
    <w:name w:val="footer"/>
    <w:basedOn w:val="Normal"/>
    <w:link w:val="FooterChar"/>
    <w:uiPriority w:val="99"/>
    <w:unhideWhenUsed/>
    <w:rsid w:val="00bc6b2c"/>
    <w:pPr>
      <w:tabs>
        <w:tab w:val="clear" w:pos="720"/>
        <w:tab w:val="center" w:pos="4536" w:leader="none"/>
        <w:tab w:val="right" w:pos="9072"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1">
    <w:name w:val="Table Normal1"/>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LibreOffice/26.2.0.3$MacOSX_AARCH64 LibreOffice_project/afbbd0df0edb6d40b450b0337ac646b0913a760c</Application>
  <AppVersion>15.0000</AppVersion>
  <Pages>6</Pages>
  <Words>2491</Words>
  <Characters>17745</Characters>
  <CharactersWithSpaces>20145</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2026-07-15T04:39:00Z</dcterms:created>
  <dc:creator>Nowy Użytkownik</dc:creator>
  <dc:description/>
  <dc:language>pl-PL</dc:language>
  <cp:lastModifiedBy>Adam Ochmański</cp:lastModifiedBy>
  <dcterms:modified xsi:type="dcterms:W3CDTF">2026-07-24T13:08:38Z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Creator">
    <vt:lpwstr>Writer</vt:lpwstr>
  </property>
  <property fmtid="{D5CDD505-2E9C-101B-9397-08002B2CF9AE}" pid="4" name="LastSaved">
    <vt:filetime>2026-04-10T00:00:00Z</vt:filetime>
  </property>
  <property fmtid="{D5CDD505-2E9C-101B-9397-08002B2CF9AE}" pid="5" name="Producer">
    <vt:lpwstr>OpenOffice 4.1.16</vt:lpwstr>
  </property>
</Properties>
</file>