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00"/>
        <w:rPr>
          <w:sz w:val="24"/>
          <w:szCs w:val="28"/>
          <w:lang w:val="pl-PL"/>
        </w:rPr>
      </w:pPr>
      <w:r>
        <w:rPr>
          <w:b/>
          <w:sz w:val="22"/>
          <w:szCs w:val="28"/>
          <w:lang w:val="pl-PL"/>
        </w:rPr>
        <w:t>Załącznik nr 3 do Oferty ramowej w zakresie dostępu hurtowego do sieci realizowanej w ramach KPO4 - Porozumienie o rezygnacji z Prognoz BSA i LLU</w:t>
      </w:r>
    </w:p>
    <w:p>
      <w:pPr>
        <w:pStyle w:val="Normal"/>
        <w:spacing w:lineRule="auto" w:line="240" w:before="0" w:after="100"/>
        <w:jc w:val="center"/>
        <w:rPr>
          <w:lang w:val="pl-PL"/>
        </w:rPr>
      </w:pPr>
      <w:r>
        <w:rPr>
          <w:b/>
          <w:sz w:val="22"/>
          <w:lang w:val="pl-PL"/>
        </w:rPr>
        <w:t>Porozumienie o rezygnacji z Prognoz BSA i LLU</w:t>
      </w:r>
    </w:p>
    <w:p>
      <w:pPr>
        <w:pStyle w:val="Normal"/>
        <w:spacing w:lineRule="auto" w:line="240" w:before="0" w:after="60"/>
        <w:rPr>
          <w:lang w:val="pl-PL"/>
        </w:rPr>
      </w:pPr>
      <w:r>
        <w:rPr>
          <w:sz w:val="18"/>
          <w:lang w:val="pl-PL"/>
        </w:rPr>
        <w:t>Zawarte w (miejscowość) ................................, w dniu złożenia ostatniego z kwalifikowanych podpisów elektronicznych / podpisów własnoręcznych, zwane dalej „Porozumieniem”.</w:t>
      </w:r>
    </w:p>
    <w:p>
      <w:pPr>
        <w:pStyle w:val="Normal"/>
        <w:spacing w:lineRule="auto" w:line="240" w:before="0" w:after="60"/>
        <w:rPr>
          <w:lang w:val="pl-PL"/>
        </w:rPr>
      </w:pPr>
      <w:r>
        <w:rPr>
          <w:b/>
          <w:sz w:val="18"/>
          <w:lang w:val="pl-PL"/>
        </w:rPr>
        <w:t>Pomiędzy:</w:t>
      </w:r>
    </w:p>
    <w:p>
      <w:pPr>
        <w:pStyle w:val="Normal"/>
        <w:spacing w:lineRule="auto" w:line="240" w:before="0" w:after="40"/>
        <w:rPr>
          <w:lang w:val="pl-PL"/>
        </w:rPr>
      </w:pPr>
      <w:r>
        <w:rPr>
          <w:sz w:val="17"/>
          <w:lang w:val="pl-PL"/>
        </w:rPr>
        <w:t>MEVSPACE Sp. z o.o. z siedzibą w Warszawie, adres siedziby: ul. Augustyna Locciego 33, 02-928 Warszawa, wpisaną do rejestru przedsiębiorców Krajowego Rejestru Sądowego prowadzonego przez Sąd Rejonowy dla m.st. Warszawy, XIII Wydział Gospodarczy Krajowego Rejestru Sądowego pod numerem KRS 0000346299, REGON 100818967, NIP 7282739782, wpisaną do rejestru przedsiębiorców telekomunikacyjnych prowadzonego przez Prezesa Urzędu Komunikacji Elektronicznej pod numerem 12901, zwaną dalej „OSD”, reprezentowaną przez:</w:t>
      </w:r>
    </w:p>
    <w:p>
      <w:pPr>
        <w:pStyle w:val="Normal"/>
        <w:spacing w:lineRule="auto" w:line="240" w:before="0" w:after="40"/>
        <w:rPr>
          <w:sz w:val="17"/>
          <w:lang w:val="pl-PL"/>
        </w:rPr>
      </w:pPr>
      <w:r>
        <w:rPr>
          <w:sz w:val="17"/>
          <w:lang w:val="pl-PL"/>
        </w:rPr>
        <w:t>__________ - _________;</w:t>
      </w:r>
    </w:p>
    <w:p>
      <w:pPr>
        <w:pStyle w:val="Normal"/>
        <w:spacing w:lineRule="auto" w:line="240" w:before="0" w:after="40"/>
        <w:rPr>
          <w:lang w:val="pl-PL"/>
        </w:rPr>
      </w:pPr>
      <w:r>
        <w:rPr>
          <w:sz w:val="17"/>
          <w:lang w:val="pl-PL"/>
        </w:rPr>
        <w:t>__________ - _________;</w:t>
      </w:r>
    </w:p>
    <w:p>
      <w:pPr>
        <w:pStyle w:val="Normal"/>
        <w:spacing w:lineRule="auto" w:line="240" w:before="0" w:after="40"/>
        <w:rPr>
          <w:lang w:val="pl-PL"/>
        </w:rPr>
      </w:pPr>
      <w:r>
        <w:rPr>
          <w:sz w:val="17"/>
          <w:lang w:val="pl-PL"/>
        </w:rPr>
        <w:t>a</w:t>
      </w:r>
    </w:p>
    <w:p>
      <w:pPr>
        <w:pStyle w:val="Normal"/>
        <w:spacing w:lineRule="auto" w:line="240" w:before="0" w:after="40"/>
        <w:rPr>
          <w:lang w:val="pl-PL"/>
        </w:rPr>
      </w:pPr>
      <w:r>
        <w:rPr>
          <w:sz w:val="17"/>
          <w:lang w:val="pl-PL"/>
        </w:rPr>
        <w:t>................................................................................, z siedzibą w ................................ pod adresem: ................................, wpisaną do rejestru przedsiębiorców Krajowego Rejestru Sądowego prowadzonego przez ................................ pod numerem KRS: ................................ (nie dotyczy przedsiębiorców wpisanych do Centralnej Ewidencji i Informacji o Działalności Gospodarczej), REGON: ................................, NIP: ................................, wpisaną/ym do rejestru przedsiębiorców telekomunikacyjnych prowadzonego przez Prezesa Urzędu Komunikacji Elektronicznej pod numerem ................................, zwaną/ym dalej „</w:t>
      </w:r>
      <w:r>
        <w:rPr>
          <w:b/>
          <w:bCs/>
          <w:sz w:val="17"/>
          <w:lang w:val="pl-PL"/>
        </w:rPr>
        <w:t>OK</w:t>
      </w:r>
      <w:r>
        <w:rPr>
          <w:sz w:val="17"/>
          <w:lang w:val="pl-PL"/>
        </w:rPr>
        <w:t>”, reprezentowaną/ym przez:</w:t>
      </w:r>
    </w:p>
    <w:p>
      <w:pPr>
        <w:pStyle w:val="Normal"/>
        <w:spacing w:lineRule="auto" w:line="240" w:before="0" w:after="40"/>
        <w:rPr>
          <w:lang w:val="pl-PL"/>
        </w:rPr>
      </w:pPr>
      <w:r>
        <w:rPr>
          <w:sz w:val="17"/>
          <w:lang w:val="pl-PL"/>
        </w:rPr>
        <w:t>................................................................................</w:t>
      </w:r>
    </w:p>
    <w:p>
      <w:pPr>
        <w:pStyle w:val="Normal"/>
        <w:spacing w:lineRule="auto" w:line="240" w:before="0" w:after="60"/>
        <w:rPr>
          <w:sz w:val="17"/>
          <w:lang w:val="pl-PL"/>
        </w:rPr>
      </w:pPr>
      <w:r>
        <w:rPr>
          <w:sz w:val="17"/>
          <w:lang w:val="pl-PL"/>
        </w:rPr>
        <w:t>OSD lub OK zwani są również dalej każdy z osobna „Stroną” lub łącznie „Stronami” Porozumienia.</w:t>
      </w:r>
    </w:p>
    <w:p>
      <w:pPr>
        <w:pStyle w:val="Normal"/>
        <w:spacing w:lineRule="auto" w:line="240" w:before="0" w:after="60"/>
        <w:rPr>
          <w:sz w:val="17"/>
          <w:lang w:val="pl-PL"/>
        </w:rPr>
      </w:pPr>
      <w:r>
        <w:rPr>
          <w:sz w:val="17"/>
          <w:lang w:val="pl-PL"/>
        </w:rPr>
      </w:r>
    </w:p>
    <w:p>
      <w:pPr>
        <w:pStyle w:val="Normal"/>
        <w:spacing w:lineRule="auto" w:line="240" w:before="0" w:after="60"/>
        <w:rPr>
          <w:sz w:val="17"/>
          <w:lang w:val="pl-PL"/>
        </w:rPr>
      </w:pPr>
      <w:r>
        <w:rPr>
          <w:sz w:val="17"/>
          <w:lang w:val="pl-PL"/>
        </w:rPr>
        <w:t>Zważywszy, że:</w:t>
      </w:r>
    </w:p>
    <w:p>
      <w:pPr>
        <w:pStyle w:val="ListParagraph"/>
        <w:numPr>
          <w:ilvl w:val="0"/>
          <w:numId w:val="7"/>
        </w:numPr>
        <w:spacing w:lineRule="auto" w:line="240" w:before="0" w:after="60"/>
        <w:contextualSpacing/>
        <w:rPr>
          <w:sz w:val="17"/>
          <w:lang w:val="pl-PL"/>
        </w:rPr>
      </w:pPr>
      <w:r>
        <w:rPr>
          <w:sz w:val="17"/>
          <w:lang w:val="pl-PL"/>
        </w:rPr>
        <w:t>Strony łączy umowa ramowa nr _______</w:t>
      </w:r>
      <w:r>
        <w:rPr>
          <w:lang w:val="pl-PL"/>
        </w:rPr>
        <w:t xml:space="preserve"> </w:t>
      </w:r>
      <w:r>
        <w:rPr>
          <w:sz w:val="17"/>
          <w:lang w:val="pl-PL"/>
        </w:rPr>
        <w:t>w zakresie dostępu hurtowego do sieci zrealizowanej w ramach KPO4 zawarta dnia _________ (dalej „</w:t>
      </w:r>
      <w:r>
        <w:rPr>
          <w:b/>
          <w:bCs/>
          <w:sz w:val="17"/>
          <w:lang w:val="pl-PL"/>
        </w:rPr>
        <w:t>Umowa</w:t>
      </w:r>
      <w:r>
        <w:rPr>
          <w:sz w:val="17"/>
          <w:lang w:val="pl-PL"/>
        </w:rPr>
        <w:t>”);</w:t>
      </w:r>
    </w:p>
    <w:p>
      <w:pPr>
        <w:pStyle w:val="ListParagraph"/>
        <w:numPr>
          <w:ilvl w:val="0"/>
          <w:numId w:val="7"/>
        </w:numPr>
        <w:spacing w:lineRule="auto" w:line="240" w:before="0" w:after="60"/>
        <w:contextualSpacing/>
        <w:rPr>
          <w:sz w:val="17"/>
          <w:lang w:val="pl-PL"/>
        </w:rPr>
      </w:pPr>
      <w:r>
        <w:rPr>
          <w:sz w:val="17"/>
          <w:lang w:val="pl-PL"/>
        </w:rPr>
        <w:t>zgodnie z Umową OK ma obowiązek przesyłać do OSD Prognozy dla usług BSA i LLU;</w:t>
      </w:r>
    </w:p>
    <w:p>
      <w:pPr>
        <w:pStyle w:val="ListParagraph"/>
        <w:numPr>
          <w:ilvl w:val="0"/>
          <w:numId w:val="7"/>
        </w:numPr>
        <w:spacing w:lineRule="auto" w:line="240" w:before="0" w:after="60"/>
        <w:contextualSpacing/>
        <w:rPr>
          <w:sz w:val="17"/>
          <w:lang w:val="pl-PL"/>
        </w:rPr>
      </w:pPr>
      <w:r>
        <w:rPr>
          <w:sz w:val="17"/>
          <w:lang w:val="pl-PL"/>
        </w:rPr>
        <w:t>zgodnie z rozdziałem 16 Umowy Strony mogą zawrzeć porozumienie o rezygnacji z Prognoz dla usług BSA i LLU.</w:t>
      </w:r>
    </w:p>
    <w:p>
      <w:pPr>
        <w:pStyle w:val="Normal"/>
        <w:spacing w:lineRule="auto" w:line="240" w:before="0" w:after="40"/>
        <w:jc w:val="center"/>
        <w:rPr>
          <w:lang w:val="pl-PL"/>
        </w:rPr>
      </w:pPr>
      <w:r>
        <w:rPr>
          <w:b/>
          <w:sz w:val="19"/>
          <w:lang w:val="pl-PL"/>
        </w:rPr>
        <w:t>§ 1</w:t>
      </w:r>
    </w:p>
    <w:p>
      <w:pPr>
        <w:pStyle w:val="ListParagraph"/>
        <w:numPr>
          <w:ilvl w:val="0"/>
          <w:numId w:val="9"/>
        </w:numPr>
        <w:spacing w:lineRule="auto" w:line="240" w:before="0" w:after="40"/>
        <w:contextualSpacing/>
        <w:rPr>
          <w:lang w:val="pl-PL"/>
        </w:rPr>
      </w:pPr>
      <w:r>
        <w:rPr>
          <w:sz w:val="17"/>
          <w:lang w:val="pl-PL"/>
        </w:rPr>
        <w:t>Strony zgodnie rezygnują z Prognoz dla usług BSA i LLU.</w:t>
      </w:r>
    </w:p>
    <w:p>
      <w:pPr>
        <w:pStyle w:val="ListParagraph"/>
        <w:numPr>
          <w:ilvl w:val="0"/>
          <w:numId w:val="9"/>
        </w:numPr>
        <w:spacing w:lineRule="auto" w:line="240" w:before="0" w:after="40"/>
        <w:contextualSpacing/>
        <w:rPr>
          <w:lang w:val="pl-PL"/>
        </w:rPr>
      </w:pPr>
      <w:r>
        <w:rPr>
          <w:sz w:val="17"/>
          <w:lang w:val="pl-PL"/>
        </w:rPr>
        <w:t>OK oświadcza, że przez cały czas obowiązywania Porozumienia w każdym Kwartale:</w:t>
      </w:r>
    </w:p>
    <w:p>
      <w:pPr>
        <w:pStyle w:val="ListParagraph"/>
        <w:numPr>
          <w:ilvl w:val="1"/>
          <w:numId w:val="9"/>
        </w:numPr>
        <w:spacing w:lineRule="auto" w:line="240" w:before="0" w:after="40"/>
        <w:contextualSpacing/>
        <w:rPr>
          <w:sz w:val="17"/>
          <w:szCs w:val="17"/>
          <w:lang w:val="pl-PL"/>
        </w:rPr>
      </w:pPr>
      <w:r>
        <w:rPr>
          <w:b/>
          <w:bCs/>
          <w:sz w:val="17"/>
          <w:szCs w:val="17"/>
          <w:lang w:val="pl-PL"/>
        </w:rPr>
        <w:t>w przypadku usługi BSA</w:t>
      </w:r>
      <w:r>
        <w:rPr>
          <w:sz w:val="17"/>
          <w:szCs w:val="17"/>
          <w:lang w:val="pl-PL"/>
        </w:rPr>
        <w:t>:</w:t>
      </w:r>
    </w:p>
    <w:p>
      <w:pPr>
        <w:pStyle w:val="ListParagraph"/>
        <w:numPr>
          <w:ilvl w:val="2"/>
          <w:numId w:val="9"/>
        </w:numPr>
        <w:spacing w:lineRule="auto" w:line="240" w:before="0" w:after="40"/>
        <w:contextualSpacing/>
        <w:rPr>
          <w:lang w:val="pl-PL"/>
        </w:rPr>
      </w:pPr>
      <w:r>
        <w:rPr>
          <w:sz w:val="17"/>
          <w:lang w:val="pl-PL"/>
        </w:rPr>
        <w:t>liczba Lokalnych pętli abonenckich, na których będzie świadczona ww. Usługa, nie przekroczy ________;</w:t>
      </w:r>
    </w:p>
    <w:p>
      <w:pPr>
        <w:pStyle w:val="ListParagraph"/>
        <w:numPr>
          <w:ilvl w:val="2"/>
          <w:numId w:val="9"/>
        </w:numPr>
        <w:spacing w:lineRule="auto" w:line="240" w:before="0" w:after="40"/>
        <w:contextualSpacing/>
        <w:rPr>
          <w:sz w:val="17"/>
          <w:szCs w:val="17"/>
          <w:lang w:val="pl-PL"/>
        </w:rPr>
      </w:pPr>
      <w:r>
        <w:rPr>
          <w:sz w:val="17"/>
          <w:szCs w:val="17"/>
          <w:lang w:val="pl-PL"/>
        </w:rPr>
        <w:t>liczba interfejsów, typu ___________, w poszczególnych PDU, z których zamierza korzystać dla potrzeb świadczenia Usług Detalicznych,</w:t>
      </w:r>
      <w:r>
        <w:rPr>
          <w:sz w:val="17"/>
          <w:lang w:val="pl-PL"/>
        </w:rPr>
        <w:t xml:space="preserve"> nie przekroczy ________;</w:t>
      </w:r>
    </w:p>
    <w:p>
      <w:pPr>
        <w:pStyle w:val="ListParagraph"/>
        <w:numPr>
          <w:ilvl w:val="2"/>
          <w:numId w:val="9"/>
        </w:numPr>
        <w:spacing w:lineRule="auto" w:line="240" w:before="0" w:after="40"/>
        <w:contextualSpacing/>
        <w:rPr>
          <w:sz w:val="17"/>
          <w:szCs w:val="17"/>
          <w:lang w:val="pl-PL"/>
        </w:rPr>
      </w:pPr>
      <w:r>
        <w:rPr>
          <w:sz w:val="17"/>
          <w:szCs w:val="17"/>
          <w:lang w:val="pl-PL"/>
        </w:rPr>
        <w:t>liczba Zamówień nie przekroczy _________;</w:t>
      </w:r>
    </w:p>
    <w:p>
      <w:pPr>
        <w:pStyle w:val="ListParagraph"/>
        <w:numPr>
          <w:ilvl w:val="2"/>
          <w:numId w:val="9"/>
        </w:numPr>
        <w:spacing w:lineRule="auto" w:line="240" w:before="0" w:after="40"/>
        <w:contextualSpacing/>
        <w:rPr>
          <w:lang w:val="pl-PL"/>
        </w:rPr>
      </w:pPr>
      <w:r>
        <w:rPr>
          <w:sz w:val="17"/>
          <w:szCs w:val="17"/>
          <w:lang w:val="pl-PL"/>
        </w:rPr>
        <w:t>liczba interfejsów fizycznych dla poszczególnych PDU nie przekroczy _______.</w:t>
      </w:r>
    </w:p>
    <w:p>
      <w:pPr>
        <w:pStyle w:val="ListParagraph"/>
        <w:numPr>
          <w:ilvl w:val="1"/>
          <w:numId w:val="9"/>
        </w:numPr>
        <w:spacing w:lineRule="auto" w:line="240" w:before="0" w:after="40"/>
        <w:contextualSpacing/>
        <w:rPr>
          <w:sz w:val="17"/>
          <w:szCs w:val="17"/>
          <w:lang w:val="pl-PL"/>
        </w:rPr>
      </w:pPr>
      <w:r>
        <w:rPr>
          <w:b/>
          <w:bCs/>
          <w:sz w:val="17"/>
          <w:szCs w:val="17"/>
          <w:lang w:val="pl-PL"/>
        </w:rPr>
        <w:t>w przypadku usługi LLU:</w:t>
      </w:r>
    </w:p>
    <w:p>
      <w:pPr>
        <w:pStyle w:val="ListParagraph"/>
        <w:numPr>
          <w:ilvl w:val="2"/>
          <w:numId w:val="9"/>
        </w:numPr>
        <w:spacing w:lineRule="auto" w:line="240" w:before="0" w:after="40"/>
        <w:contextualSpacing/>
        <w:rPr>
          <w:lang w:val="pl-PL"/>
        </w:rPr>
      </w:pPr>
      <w:r>
        <w:rPr>
          <w:sz w:val="17"/>
          <w:lang w:val="pl-PL"/>
        </w:rPr>
        <w:t>liczba Lokalnych pętli abonenckich, na których będzie świadczona ww. Usługa, nie przekroczy ________;</w:t>
      </w:r>
    </w:p>
    <w:p>
      <w:pPr>
        <w:pStyle w:val="ListParagraph"/>
        <w:numPr>
          <w:ilvl w:val="2"/>
          <w:numId w:val="9"/>
        </w:numPr>
        <w:spacing w:lineRule="auto" w:line="240" w:before="0" w:after="40"/>
        <w:contextualSpacing/>
        <w:rPr>
          <w:lang w:val="pl-PL"/>
        </w:rPr>
      </w:pPr>
      <w:r>
        <w:rPr>
          <w:sz w:val="17"/>
          <w:szCs w:val="17"/>
          <w:lang w:val="pl-PL"/>
        </w:rPr>
        <w:t>liczba Zamówień nie przekroczy ______;</w:t>
      </w:r>
    </w:p>
    <w:p>
      <w:pPr>
        <w:pStyle w:val="ListParagraph"/>
        <w:numPr>
          <w:ilvl w:val="2"/>
          <w:numId w:val="9"/>
        </w:numPr>
        <w:spacing w:lineRule="auto" w:line="240" w:before="0" w:after="40"/>
        <w:contextualSpacing/>
        <w:rPr>
          <w:lang w:val="pl-PL"/>
        </w:rPr>
      </w:pPr>
      <w:r>
        <w:rPr>
          <w:sz w:val="17"/>
          <w:lang w:val="pl-PL"/>
        </w:rPr>
        <w:t>liczba Lokalnych pętli abonenckich dla poszczególnych SIMC, na których będzie świadczona ww. Usługa, nie przekroczy ________.</w:t>
      </w:r>
    </w:p>
    <w:p>
      <w:pPr>
        <w:pStyle w:val="ListParagraph"/>
        <w:numPr>
          <w:ilvl w:val="0"/>
          <w:numId w:val="9"/>
        </w:numPr>
        <w:spacing w:lineRule="auto" w:line="240" w:before="0" w:after="40"/>
        <w:contextualSpacing/>
        <w:rPr>
          <w:sz w:val="17"/>
          <w:lang w:val="pl-PL"/>
        </w:rPr>
      </w:pPr>
      <w:r>
        <w:rPr>
          <w:sz w:val="17"/>
          <w:lang w:val="pl-PL"/>
        </w:rPr>
        <w:t>Limity wskazane w ust. 2 zastępują Prognozy dla usług BSA i LLU w okresie obowiązywania Porozumienia. Postanowienia pkt 16.1 i 16.2 Umowy nie mają zastosowania w okresie obowiązywania Porozumienia.</w:t>
      </w:r>
    </w:p>
    <w:p>
      <w:pPr>
        <w:pStyle w:val="Normal"/>
        <w:spacing w:lineRule="auto" w:line="240" w:before="0" w:after="40"/>
        <w:jc w:val="center"/>
        <w:rPr>
          <w:b/>
          <w:sz w:val="19"/>
          <w:lang w:val="pl-PL"/>
        </w:rPr>
      </w:pPr>
      <w:r>
        <w:rPr>
          <w:b/>
          <w:sz w:val="19"/>
          <w:lang w:val="pl-PL"/>
        </w:rPr>
        <w:t>§ 2</w:t>
      </w:r>
    </w:p>
    <w:p>
      <w:pPr>
        <w:pStyle w:val="ListParagraph"/>
        <w:numPr>
          <w:ilvl w:val="0"/>
          <w:numId w:val="10"/>
        </w:numPr>
        <w:spacing w:lineRule="auto" w:line="240" w:before="0" w:after="40"/>
        <w:contextualSpacing/>
        <w:rPr>
          <w:b/>
          <w:sz w:val="17"/>
          <w:szCs w:val="17"/>
          <w:lang w:val="pl-PL"/>
        </w:rPr>
      </w:pPr>
      <w:r>
        <w:rPr>
          <w:bCs/>
          <w:sz w:val="17"/>
          <w:szCs w:val="17"/>
          <w:lang w:val="pl-PL"/>
        </w:rPr>
        <w:t>Porozumienie zostaje zawarte na czas nieokreślony / określony - _______.</w:t>
      </w:r>
    </w:p>
    <w:p>
      <w:pPr>
        <w:pStyle w:val="ListParagraph"/>
        <w:numPr>
          <w:ilvl w:val="0"/>
          <w:numId w:val="10"/>
        </w:numPr>
        <w:spacing w:lineRule="auto" w:line="240" w:before="0" w:after="40"/>
        <w:contextualSpacing/>
        <w:rPr>
          <w:b/>
          <w:sz w:val="17"/>
          <w:szCs w:val="17"/>
          <w:lang w:val="pl-PL"/>
        </w:rPr>
      </w:pPr>
      <w:r>
        <w:rPr>
          <w:bCs/>
          <w:sz w:val="17"/>
          <w:szCs w:val="17"/>
          <w:lang w:val="pl-PL"/>
        </w:rPr>
        <w:t>Porozumienie zawarte na czas nieokreślony może zostać wypowiedziane przez każdą ze stron z zachowaniem miesięcznego okresu wypowiedzenia, ze skutkiem na koniec miesiąca kalendarzowego.</w:t>
      </w:r>
    </w:p>
    <w:p>
      <w:pPr>
        <w:pStyle w:val="ListParagraph"/>
        <w:numPr>
          <w:ilvl w:val="0"/>
          <w:numId w:val="10"/>
        </w:numPr>
        <w:spacing w:lineRule="auto" w:line="240" w:before="0" w:after="40"/>
        <w:contextualSpacing/>
        <w:rPr>
          <w:b/>
          <w:sz w:val="17"/>
          <w:szCs w:val="17"/>
          <w:lang w:val="pl-PL"/>
        </w:rPr>
      </w:pPr>
      <w:r>
        <w:rPr>
          <w:bCs/>
          <w:sz w:val="17"/>
          <w:szCs w:val="17"/>
          <w:lang w:val="pl-PL"/>
        </w:rPr>
        <w:t>W przypadku, gdy przekroczenia przez OK, któregokolwiek z limitów określonych w § 1 ust. 2 Porozumienia Porozumienie wygasa. OSD informuje OK o stwierdzonym przekroczeniu limitu w formie dokumentowej. W takim przypadku OK ma obowiązek przesyłać do OSD Prognozy dla usług BSA i LLU zgodnie z Umową począwszy od Kwartału następującego po dniu wygaśnięcia Porozumienia.</w:t>
      </w:r>
    </w:p>
    <w:p>
      <w:pPr>
        <w:pStyle w:val="Normal"/>
        <w:spacing w:lineRule="auto" w:line="240" w:before="0" w:after="40"/>
        <w:jc w:val="center"/>
        <w:rPr>
          <w:b/>
          <w:sz w:val="19"/>
          <w:lang w:val="pl-PL"/>
        </w:rPr>
      </w:pPr>
      <w:r>
        <w:rPr>
          <w:b/>
          <w:sz w:val="19"/>
          <w:lang w:val="pl-PL"/>
        </w:rPr>
      </w:r>
    </w:p>
    <w:p>
      <w:pPr>
        <w:pStyle w:val="Normal"/>
        <w:spacing w:lineRule="auto" w:line="240" w:before="0" w:after="40"/>
        <w:jc w:val="center"/>
        <w:rPr>
          <w:b/>
          <w:sz w:val="19"/>
          <w:lang w:val="pl-PL"/>
        </w:rPr>
      </w:pPr>
      <w:r>
        <w:rPr>
          <w:b/>
          <w:sz w:val="19"/>
          <w:lang w:val="pl-PL"/>
        </w:rPr>
        <w:t>§ 3</w:t>
      </w:r>
    </w:p>
    <w:p>
      <w:pPr>
        <w:pStyle w:val="ListParagraph"/>
        <w:numPr>
          <w:ilvl w:val="0"/>
          <w:numId w:val="11"/>
        </w:numPr>
        <w:spacing w:lineRule="auto" w:line="240" w:before="0" w:after="40"/>
        <w:contextualSpacing/>
        <w:rPr>
          <w:bCs/>
          <w:sz w:val="17"/>
          <w:szCs w:val="17"/>
          <w:lang w:val="pl-PL"/>
        </w:rPr>
      </w:pPr>
      <w:r>
        <w:rPr>
          <w:bCs/>
          <w:sz w:val="17"/>
          <w:szCs w:val="17"/>
          <w:lang w:val="pl-PL"/>
        </w:rPr>
        <w:t>Jeżeli OSD wykaże, że występujące w okresie obowiązywania Porozumienia Awarie w świadczeniu usługi BSA spowodowane są przekroczeniami limitów określonych w § 1 ust. 2 lit. a Porozumienia, OSD nie ponosi z tego tytułu odpowiedzialności i nie wypłaca kar umownych lub bonifikaty, o których mowa w Rozdziale 17 i Rozdziale 18 Umowy.</w:t>
      </w:r>
    </w:p>
    <w:p>
      <w:pPr>
        <w:pStyle w:val="ListParagraph"/>
        <w:numPr>
          <w:ilvl w:val="0"/>
          <w:numId w:val="11"/>
        </w:numPr>
        <w:spacing w:lineRule="auto" w:line="240" w:before="0" w:after="40"/>
        <w:contextualSpacing/>
        <w:rPr>
          <w:bCs/>
          <w:sz w:val="17"/>
          <w:szCs w:val="17"/>
          <w:lang w:val="pl-PL"/>
        </w:rPr>
      </w:pPr>
      <w:r>
        <w:rPr>
          <w:bCs/>
          <w:sz w:val="17"/>
          <w:szCs w:val="17"/>
          <w:lang w:val="pl-PL"/>
        </w:rPr>
        <w:t>W przypadku przekroczenia któregokolwiek z limitów określonych w § 1 ust. 2 Porozumienia, OSD dołoży starań, aby dostarczyć usługę BSA lub LLU, z zastrzeżeniem, że w wypadku Zamówień, które powodują przekroczenie danego limitu albo zostały złożone po jego przekroczeniu, OSD nie gwarantuje terminowości ich realizowania, a OK nie nalicza OSD kary umownej za nieterminowe realizowanie Zamówień.</w:t>
      </w:r>
    </w:p>
    <w:p>
      <w:pPr>
        <w:pStyle w:val="Normal"/>
        <w:spacing w:lineRule="auto" w:line="240" w:before="0" w:after="40"/>
        <w:jc w:val="center"/>
        <w:rPr>
          <w:b/>
          <w:sz w:val="19"/>
          <w:lang w:val="pl-PL"/>
        </w:rPr>
      </w:pPr>
      <w:r>
        <w:rPr>
          <w:b/>
          <w:sz w:val="19"/>
          <w:lang w:val="pl-PL"/>
        </w:rPr>
      </w:r>
    </w:p>
    <w:p>
      <w:pPr>
        <w:pStyle w:val="Normal"/>
        <w:spacing w:lineRule="auto" w:line="240" w:before="0" w:after="40"/>
        <w:jc w:val="center"/>
        <w:rPr>
          <w:lang w:val="pl-PL"/>
        </w:rPr>
      </w:pPr>
      <w:r>
        <w:rPr>
          <w:b/>
          <w:sz w:val="19"/>
          <w:lang w:val="pl-PL"/>
        </w:rPr>
        <w:t>§ 4</w:t>
      </w:r>
    </w:p>
    <w:p>
      <w:pPr>
        <w:pStyle w:val="ListParagraph"/>
        <w:numPr>
          <w:ilvl w:val="0"/>
          <w:numId w:val="8"/>
        </w:numPr>
        <w:spacing w:lineRule="auto" w:line="240" w:before="0" w:after="40"/>
        <w:contextualSpacing/>
        <w:rPr>
          <w:sz w:val="17"/>
          <w:lang w:val="pl-PL"/>
        </w:rPr>
      </w:pPr>
      <w:r>
        <w:rPr>
          <w:sz w:val="17"/>
          <w:lang w:val="pl-PL"/>
        </w:rPr>
        <w:t>Wszelkie wyrazy pisane dużą literą mają znaczenie nadane im w Umowie.</w:t>
      </w:r>
    </w:p>
    <w:p>
      <w:pPr>
        <w:pStyle w:val="ListParagraph"/>
        <w:numPr>
          <w:ilvl w:val="0"/>
          <w:numId w:val="8"/>
        </w:numPr>
        <w:spacing w:lineRule="auto" w:line="240" w:before="0" w:after="40"/>
        <w:contextualSpacing/>
        <w:rPr>
          <w:sz w:val="17"/>
          <w:lang w:val="pl-PL"/>
        </w:rPr>
      </w:pPr>
      <w:r>
        <w:rPr>
          <w:sz w:val="17"/>
          <w:lang w:val="pl-PL"/>
        </w:rPr>
        <w:t>W zakresie nieuregulowanym niniejszym Porozumieniem zastosowanie znajduje Umowa.</w:t>
      </w:r>
    </w:p>
    <w:p>
      <w:pPr>
        <w:pStyle w:val="ListParagraph"/>
        <w:numPr>
          <w:ilvl w:val="0"/>
          <w:numId w:val="8"/>
        </w:numPr>
        <w:spacing w:lineRule="auto" w:line="240" w:before="0" w:after="40"/>
        <w:contextualSpacing/>
        <w:rPr>
          <w:sz w:val="17"/>
          <w:lang w:val="pl-PL"/>
        </w:rPr>
      </w:pPr>
      <w:r>
        <w:rPr>
          <w:sz w:val="17"/>
          <w:lang w:val="pl-PL"/>
        </w:rPr>
        <w:t>Zmiana, wypowiedzenie albo rozwiązanie Porozumienia wymaga zachowania formy pisemnej pod rygorem nieważności.</w:t>
      </w:r>
    </w:p>
    <w:p>
      <w:pPr>
        <w:pStyle w:val="Normal"/>
        <w:spacing w:lineRule="auto" w:line="240" w:before="0" w:after="140"/>
        <w:rPr>
          <w:lang w:val="pl-PL"/>
        </w:rPr>
      </w:pPr>
      <w:r>
        <w:rPr>
          <w:lang w:val="pl-PL"/>
        </w:rPr>
      </w:r>
    </w:p>
    <w:tbl>
      <w:tblPr>
        <w:tblW w:w="10312" w:type="dxa"/>
        <w:jc w:val="center"/>
        <w:tblInd w:w="0" w:type="dxa"/>
        <w:tblLayout w:type="fixed"/>
        <w:tblCellMar>
          <w:top w:w="70" w:type="dxa"/>
          <w:start w:w="70" w:type="dxa"/>
          <w:bottom w:w="70" w:type="dxa"/>
          <w:end w:w="70" w:type="dxa"/>
        </w:tblCellMar>
        <w:tblLook w:val="04a0" w:noVBand="1" w:noHBand="0" w:lastColumn="0" w:firstColumn="1" w:lastRow="0" w:firstRow="1"/>
      </w:tblPr>
      <w:tblGrid>
        <w:gridCol w:w="5156"/>
        <w:gridCol w:w="5156"/>
      </w:tblGrid>
      <w:tr>
        <w:trPr/>
        <w:tc>
          <w:tcPr>
            <w:tcW w:w="5156" w:type="dxa"/>
            <w:tcBorders/>
            <w:vAlign w:val="center"/>
          </w:tcPr>
          <w:p>
            <w:pPr>
              <w:pStyle w:val="Normal"/>
              <w:spacing w:lineRule="auto" w:line="240" w:before="0" w:after="0"/>
              <w:jc w:val="center"/>
              <w:rPr/>
            </w:pPr>
            <w:r>
              <w:rPr>
                <w:b/>
                <w:sz w:val="19"/>
              </w:rPr>
              <w:t>OSD</w:t>
            </w:r>
          </w:p>
        </w:tc>
        <w:tc>
          <w:tcPr>
            <w:tcW w:w="5156" w:type="dxa"/>
            <w:tcBorders/>
            <w:vAlign w:val="center"/>
          </w:tcPr>
          <w:p>
            <w:pPr>
              <w:pStyle w:val="Normal"/>
              <w:spacing w:lineRule="auto" w:line="240" w:before="0" w:after="0"/>
              <w:jc w:val="center"/>
              <w:rPr/>
            </w:pPr>
            <w:r>
              <w:rPr>
                <w:b/>
                <w:sz w:val="19"/>
              </w:rPr>
              <w:t>OK</w:t>
            </w:r>
          </w:p>
        </w:tc>
      </w:tr>
      <w:tr>
        <w:trPr/>
        <w:tc>
          <w:tcPr>
            <w:tcW w:w="5156" w:type="dxa"/>
            <w:tcBorders/>
            <w:vAlign w:val="center"/>
          </w:tcPr>
          <w:p>
            <w:pPr>
              <w:pStyle w:val="Normal"/>
              <w:spacing w:lineRule="auto" w:line="240" w:before="0" w:after="0"/>
              <w:jc w:val="center"/>
              <w:rPr/>
            </w:pPr>
            <w:r>
              <w:rPr>
                <w:sz w:val="19"/>
              </w:rPr>
              <w:t>…………………………………………………………</w:t>
            </w:r>
          </w:p>
        </w:tc>
        <w:tc>
          <w:tcPr>
            <w:tcW w:w="5156" w:type="dxa"/>
            <w:tcBorders/>
            <w:vAlign w:val="center"/>
          </w:tcPr>
          <w:p>
            <w:pPr>
              <w:pStyle w:val="Normal"/>
              <w:spacing w:lineRule="auto" w:line="240" w:before="0" w:after="0"/>
              <w:jc w:val="center"/>
              <w:rPr/>
            </w:pPr>
            <w:r>
              <w:rPr>
                <w:sz w:val="19"/>
              </w:rPr>
              <w:t>…………………………………………………………</w:t>
            </w:r>
          </w:p>
        </w:tc>
      </w:tr>
      <w:tr>
        <w:trPr/>
        <w:tc>
          <w:tcPr>
            <w:tcW w:w="5156" w:type="dxa"/>
            <w:tcBorders/>
            <w:vAlign w:val="center"/>
          </w:tcPr>
          <w:p>
            <w:pPr>
              <w:pStyle w:val="Normal"/>
              <w:spacing w:lineRule="auto" w:line="240" w:before="0" w:after="0"/>
              <w:jc w:val="center"/>
              <w:rPr/>
            </w:pPr>
            <w:r>
              <w:rPr>
                <w:sz w:val="19"/>
              </w:rPr>
              <w:t>(data i podpis)</w:t>
            </w:r>
          </w:p>
        </w:tc>
        <w:tc>
          <w:tcPr>
            <w:tcW w:w="5156" w:type="dxa"/>
            <w:tcBorders/>
            <w:vAlign w:val="center"/>
          </w:tcPr>
          <w:p>
            <w:pPr>
              <w:pStyle w:val="Normal"/>
              <w:spacing w:lineRule="auto" w:line="240" w:before="0" w:after="0"/>
              <w:jc w:val="center"/>
              <w:rPr/>
            </w:pPr>
            <w:r>
              <w:rPr>
                <w:sz w:val="19"/>
              </w:rPr>
              <w:t>(data i podpis)</w:t>
            </w:r>
          </w:p>
        </w:tc>
      </w:tr>
    </w:tbl>
    <w:p>
      <w:pPr>
        <w:pStyle w:val="Normal"/>
        <w:widowControl/>
        <w:bidi w:val="0"/>
        <w:spacing w:lineRule="auto" w:line="276" w:before="0" w:after="20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964" w:right="964" w:gutter="0" w:header="283" w:top="1587" w:footer="255"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alibri">
    <w:charset w:val="01" w:characterSet="utf-8"/>
    <w:family w:val="swiss"/>
    <w:pitch w:val="variable"/>
  </w:font>
  <w:font w:name="Calibri">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16764118"/>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16764118"/>
      <w:docPartObj>
        <w:docPartGallery w:val="Page Numbers (Bottom of Page)"/>
        <w:docPartUnique w:val="true"/>
      </w:docPartObj>
    </w:sdtPr>
    <w:sdtContent>
      <w:p>
        <w:pPr>
          <w:pStyle w:val="Footer"/>
          <w:jc w:val="end"/>
          <w:rPr/>
        </w:pPr>
        <w:r>
          <w:rPr/>
          <w:fldChar w:fldCharType="begin"/>
        </w:r>
        <w:r>
          <w:rPr/>
          <w:instrText xml:space="preserve"> PAGE </w:instrText>
        </w:r>
        <w:r>
          <w:rPr/>
          <w:fldChar w:fldCharType="separate"/>
        </w:r>
        <w:r>
          <w:rPr/>
          <w:t>2</w:t>
        </w:r>
        <w:r>
          <w:rPr/>
          <w:fldChar w:fldCharType="end"/>
        </w:r>
      </w:p>
    </w:sdtContent>
  </w:sdt>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868035" cy="77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5868035" cy="77216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868035" cy="772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5868035" cy="7721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9">
    <w:lvl w:ilvl="0">
      <w:start w:val="1"/>
      <w:numFmt w:val="decimal"/>
      <w:lvlText w:val="%1."/>
      <w:lvlJc w:val="start"/>
      <w:pPr>
        <w:tabs>
          <w:tab w:val="num" w:pos="0"/>
        </w:tabs>
        <w:ind w:start="360" w:hanging="360"/>
      </w:pPr>
      <w:rPr>
        <w:sz w:val="17"/>
        <w:szCs w:val="17"/>
      </w:rPr>
    </w:lvl>
    <w:lvl w:ilvl="1">
      <w:start w:val="1"/>
      <w:numFmt w:val="lowerLetter"/>
      <w:lvlText w:val="%2."/>
      <w:lvlJc w:val="start"/>
      <w:pPr>
        <w:tabs>
          <w:tab w:val="num" w:pos="0"/>
        </w:tabs>
        <w:ind w:start="1080" w:hanging="360"/>
      </w:pPr>
      <w:rPr>
        <w:sz w:val="17"/>
        <w:szCs w:val="17"/>
      </w:rPr>
    </w:lvl>
    <w:lvl w:ilvl="2">
      <w:start w:val="1"/>
      <w:numFmt w:val="lowerRoman"/>
      <w:lvlText w:val="%3."/>
      <w:lvlJc w:val="end"/>
      <w:pPr>
        <w:tabs>
          <w:tab w:val="num" w:pos="0"/>
        </w:tabs>
        <w:ind w:start="1800" w:hanging="180"/>
      </w:pPr>
      <w:rPr>
        <w:sz w:val="17"/>
        <w:szCs w:val="17"/>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0">
    <w:lvl w:ilvl="0">
      <w:start w:val="1"/>
      <w:numFmt w:val="decimal"/>
      <w:lvlText w:val="%1."/>
      <w:lvlJc w:val="start"/>
      <w:pPr>
        <w:tabs>
          <w:tab w:val="num" w:pos="0"/>
        </w:tabs>
        <w:ind w:start="360" w:hanging="360"/>
      </w:pPr>
      <w:rPr>
        <w:b w:val="false"/>
        <w:bCs/>
        <w:sz w:val="17"/>
        <w:szCs w:val="17"/>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1">
    <w:lvl w:ilvl="0">
      <w:start w:val="1"/>
      <w:numFmt w:val="decimal"/>
      <w:lvlText w:val="%1."/>
      <w:lvlJc w:val="start"/>
      <w:pPr>
        <w:tabs>
          <w:tab w:val="num" w:pos="0"/>
        </w:tabs>
        <w:ind w:start="360" w:hanging="360"/>
      </w:pPr>
      <w:rPr>
        <w:b w:val="false"/>
        <w:bCs/>
        <w:sz w:val="17"/>
        <w:szCs w:val="17"/>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start"/>
    </w:pPr>
    <w:rPr>
      <w:rFonts w:ascii="Calibri" w:hAnsi="Calibri" w:eastAsia="Calibri" w:cs="" w:cstheme="minorBidi"/>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CommentReference">
    <w:name w:val="annotation reference"/>
    <w:basedOn w:val="DefaultParagraphFont"/>
    <w:uiPriority w:val="99"/>
    <w:semiHidden/>
    <w:unhideWhenUsed/>
    <w:qFormat/>
    <w:rsid w:val="004829f0"/>
    <w:rPr>
      <w:sz w:val="16"/>
      <w:szCs w:val="16"/>
    </w:rPr>
  </w:style>
  <w:style w:type="character" w:styleId="CommentTextChar" w:customStyle="1">
    <w:name w:val="Comment Text Char"/>
    <w:basedOn w:val="DefaultParagraphFont"/>
    <w:link w:val="CommentText"/>
    <w:uiPriority w:val="99"/>
    <w:qFormat/>
    <w:rsid w:val="004829f0"/>
    <w:rPr>
      <w:rFonts w:ascii="Calibri" w:hAnsi="Calibri" w:eastAsia="Calibri"/>
      <w:sz w:val="20"/>
      <w:szCs w:val="20"/>
    </w:rPr>
  </w:style>
  <w:style w:type="character" w:styleId="CommentSubjectChar" w:customStyle="1">
    <w:name w:val="Comment Subject Char"/>
    <w:basedOn w:val="CommentTextChar"/>
    <w:link w:val="annotationsubject"/>
    <w:uiPriority w:val="99"/>
    <w:semiHidden/>
    <w:qFormat/>
    <w:rsid w:val="004829f0"/>
    <w:rPr>
      <w:rFonts w:ascii="Calibri" w:hAnsi="Calibri" w:eastAsia="Calibri"/>
      <w:b/>
      <w:bCs/>
      <w:sz w:val="20"/>
      <w:szCs w:val="20"/>
    </w:rPr>
  </w:style>
  <w:style w:type="character" w:styleId="EndnoteTextChar" w:customStyle="1">
    <w:name w:val="Endnote Text Char"/>
    <w:basedOn w:val="DefaultParagraphFont"/>
    <w:link w:val="EndnoteText"/>
    <w:uiPriority w:val="99"/>
    <w:semiHidden/>
    <w:qFormat/>
    <w:rsid w:val="00735d00"/>
    <w:rPr>
      <w:rFonts w:ascii="Calibri" w:hAnsi="Calibri" w:eastAsia="Calibri"/>
      <w:sz w:val="20"/>
      <w:szCs w:val="20"/>
    </w:rPr>
  </w:style>
  <w:style w:type="character" w:styleId="EndnoteCharacters">
    <w:name w:val="Endnote Characters"/>
    <w:basedOn w:val="DefaultParagraphFont"/>
    <w:uiPriority w:val="99"/>
    <w:semiHidden/>
    <w:unhideWhenUsed/>
    <w:qFormat/>
    <w:rsid w:val="00735d00"/>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Revision">
    <w:name w:val="Revision"/>
    <w:uiPriority w:val="99"/>
    <w:semiHidden/>
    <w:qFormat/>
    <w:rsid w:val="00182606"/>
    <w:pPr>
      <w:widowControl/>
      <w:bidi w:val="0"/>
      <w:spacing w:lineRule="auto" w:line="240" w:before="0" w:after="0"/>
      <w:jc w:val="start"/>
    </w:pPr>
    <w:rPr>
      <w:rFonts w:ascii="Calibri" w:hAnsi="Calibri" w:eastAsia="Calibri" w:cs="" w:cstheme="minorBidi"/>
      <w:color w:val="auto"/>
      <w:kern w:val="0"/>
      <w:sz w:val="21"/>
      <w:szCs w:val="22"/>
      <w:lang w:val="en-US" w:eastAsia="en-US" w:bidi="ar-SA"/>
    </w:rPr>
  </w:style>
  <w:style w:type="paragraph" w:styleId="CommentText">
    <w:name w:val="annotation text"/>
    <w:basedOn w:val="Normal"/>
    <w:link w:val="CommentTextChar"/>
    <w:uiPriority w:val="99"/>
    <w:unhideWhenUsed/>
    <w:rsid w:val="004829f0"/>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4829f0"/>
    <w:pPr/>
    <w:rPr>
      <w:b/>
      <w:bCs/>
    </w:rPr>
  </w:style>
  <w:style w:type="paragraph" w:styleId="EndnoteText">
    <w:name w:val="endnote text"/>
    <w:basedOn w:val="Normal"/>
    <w:link w:val="EndnoteTextChar"/>
    <w:uiPriority w:val="99"/>
    <w:semiHidden/>
    <w:unhideWhenUsed/>
    <w:rsid w:val="00735d00"/>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LibreOffice/26.2.0.3$MacOSX_AARCH64 LibreOffice_project/afbbd0df0edb6d40b450b0337ac646b0913a760c</Application>
  <AppVersion>15.0000</AppVersion>
  <Pages>2</Pages>
  <Words>656</Words>
  <Characters>4366</Characters>
  <CharactersWithSpaces>4953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2026-07-15T04:42:00Z</dcterms:created>
  <dc:creator>python-docx</dc:creator>
  <dc:description>generated by python-docx</dc:description>
  <dc:language>pl-PL</dc:language>
  <cp:lastModifiedBy>Adam Ochmański</cp:lastModifiedBy>
  <dcterms:modified xsi:type="dcterms:W3CDTF">2026-07-24T13:07:25Z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